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tbl>
      <w:tblPr>
        <w:tblStyle w:val="TableGrid"/>
        <w:tblpPr w:vertAnchor="text" w:tblpX="5036" w:tblpY="-5"/>
        <w:tblOverlap w:val="never"/>
        <w:tblW w:w="5338" w:type="dxa"/>
        <w:tblInd w:w="0" w:type="dxa"/>
        <w:tblCellMar>
          <w:top w:w="92" w:type="dxa"/>
          <w:left w:w="197" w:type="dxa"/>
          <w:right w:w="115" w:type="dxa"/>
        </w:tblCellMar>
        <w:tblLook w:val="04A0" w:firstRow="1" w:lastRow="0" w:firstColumn="1" w:lastColumn="0" w:noHBand="0" w:noVBand="1"/>
      </w:tblPr>
      <w:tblGrid>
        <w:gridCol w:w="5338"/>
      </w:tblGrid>
      <w:tr w:rsidR="0018754A" w:rsidTr="009E41CF" w14:paraId="33F3A7D4" w14:textId="77777777">
        <w:trPr>
          <w:trHeight w:val="2103"/>
        </w:trPr>
        <w:tc>
          <w:tcPr>
            <w:tcW w:w="5338" w:type="dxa"/>
            <w:tcBorders>
              <w:top w:val="double" w:color="000000" w:sz="15" w:space="0"/>
              <w:left w:val="double" w:color="000000" w:sz="15" w:space="0"/>
              <w:bottom w:val="double" w:color="000000" w:sz="15" w:space="0"/>
              <w:right w:val="double" w:color="000000" w:sz="15" w:space="0"/>
            </w:tcBorders>
          </w:tcPr>
          <w:p w:rsidRPr="009E41CF" w:rsidR="0018754A" w:rsidRDefault="002E49C6" w14:paraId="33F3A7CE" w14:textId="7777777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9E41CF">
              <w:rPr>
                <w:b/>
                <w:sz w:val="28"/>
                <w:szCs w:val="28"/>
              </w:rPr>
              <w:t xml:space="preserve">City of College Station </w:t>
            </w:r>
          </w:p>
          <w:p w:rsidR="000A58E7" w:rsidRDefault="002E49C6" w14:paraId="33F3A7CF" w14:textId="46648A38">
            <w:pPr>
              <w:spacing w:after="0" w:line="259" w:lineRule="auto"/>
              <w:ind w:left="0" w:firstLine="0"/>
              <w:rPr>
                <w:sz w:val="23"/>
                <w:szCs w:val="23"/>
              </w:rPr>
            </w:pPr>
            <w:r w:rsidRPr="009E41CF">
              <w:rPr>
                <w:sz w:val="23"/>
                <w:szCs w:val="23"/>
              </w:rPr>
              <w:t xml:space="preserve">Community </w:t>
            </w:r>
            <w:r w:rsidR="00F46699">
              <w:rPr>
                <w:sz w:val="23"/>
                <w:szCs w:val="23"/>
              </w:rPr>
              <w:t>Development</w:t>
            </w:r>
            <w:r w:rsidRPr="009E41CF">
              <w:rPr>
                <w:sz w:val="23"/>
                <w:szCs w:val="23"/>
              </w:rPr>
              <w:t xml:space="preserve"> </w:t>
            </w:r>
          </w:p>
          <w:p w:rsidRPr="009E41CF" w:rsidR="0018754A" w:rsidRDefault="00645F6C" w14:paraId="33F3A7D0" w14:textId="76B72467">
            <w:pPr>
              <w:spacing w:after="0" w:line="259" w:lineRule="auto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1101 Texas Ave. </w:t>
            </w:r>
          </w:p>
          <w:p w:rsidRPr="009E41CF" w:rsidR="0018754A" w:rsidRDefault="002E49C6" w14:paraId="33F3A7D1" w14:textId="77777777">
            <w:pPr>
              <w:spacing w:after="0" w:line="259" w:lineRule="auto"/>
              <w:ind w:left="0" w:firstLine="0"/>
              <w:rPr>
                <w:sz w:val="23"/>
                <w:szCs w:val="23"/>
              </w:rPr>
            </w:pPr>
            <w:r w:rsidRPr="009E41CF">
              <w:rPr>
                <w:sz w:val="23"/>
                <w:szCs w:val="23"/>
              </w:rPr>
              <w:t xml:space="preserve">P O Box 9960 </w:t>
            </w:r>
          </w:p>
          <w:p w:rsidRPr="009E41CF" w:rsidR="0018754A" w:rsidRDefault="002E49C6" w14:paraId="33F3A7D2" w14:textId="77777777">
            <w:pPr>
              <w:spacing w:after="0" w:line="259" w:lineRule="auto"/>
              <w:ind w:left="0" w:firstLine="0"/>
              <w:rPr>
                <w:sz w:val="23"/>
                <w:szCs w:val="23"/>
              </w:rPr>
            </w:pPr>
            <w:r w:rsidRPr="009E41CF">
              <w:rPr>
                <w:sz w:val="23"/>
                <w:szCs w:val="23"/>
              </w:rPr>
              <w:t xml:space="preserve">College Station, TX 77842 </w:t>
            </w:r>
          </w:p>
          <w:p w:rsidR="0018754A" w:rsidRDefault="002E49C6" w14:paraId="33F3A7D3" w14:textId="724E0369">
            <w:pPr>
              <w:spacing w:after="0" w:line="259" w:lineRule="auto"/>
              <w:ind w:left="0" w:firstLine="0"/>
            </w:pPr>
            <w:r w:rsidRPr="009E41CF">
              <w:rPr>
                <w:sz w:val="23"/>
                <w:szCs w:val="23"/>
              </w:rPr>
              <w:t>Phone: 979.764.3</w:t>
            </w:r>
            <w:r w:rsidR="007F0172">
              <w:rPr>
                <w:sz w:val="23"/>
                <w:szCs w:val="23"/>
              </w:rPr>
              <w:t>570</w:t>
            </w:r>
            <w:r w:rsidRPr="009E41CF">
              <w:rPr>
                <w:sz w:val="23"/>
                <w:szCs w:val="23"/>
              </w:rPr>
              <w:t xml:space="preserve">   www.cstx.gov/housingassistance</w:t>
            </w:r>
            <w:r>
              <w:rPr>
                <w:sz w:val="24"/>
              </w:rPr>
              <w:t xml:space="preserve"> </w:t>
            </w:r>
          </w:p>
        </w:tc>
      </w:tr>
    </w:tbl>
    <w:p w:rsidR="0018754A" w:rsidRDefault="002E49C6" w14:paraId="33F3A7D5" w14:textId="77777777">
      <w:pPr>
        <w:spacing w:after="0" w:line="259" w:lineRule="auto"/>
        <w:ind w:left="0" w:right="427" w:firstLine="0"/>
      </w:pPr>
      <w:r>
        <w:rPr>
          <w:noProof/>
        </w:rPr>
        <w:drawing>
          <wp:inline distT="0" distB="0" distL="0" distR="0" wp14:anchorId="33F3A80F" wp14:editId="33F3A810">
            <wp:extent cx="2190115" cy="106553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8"/>
        </w:rPr>
        <w:t xml:space="preserve"> </w:t>
      </w:r>
    </w:p>
    <w:p w:rsidRPr="00C24682" w:rsidR="0018754A" w:rsidRDefault="002E49C6" w14:paraId="33F3A7D6" w14:textId="77777777">
      <w:pPr>
        <w:spacing w:after="8" w:line="259" w:lineRule="auto"/>
        <w:ind w:left="0" w:right="427" w:firstLine="0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</w:rPr>
        <w:t xml:space="preserve"> </w:t>
      </w:r>
    </w:p>
    <w:p w:rsidR="0018754A" w:rsidP="009E41CF" w:rsidRDefault="002E49C6" w14:paraId="33F3A7D8" w14:textId="025CF3A1">
      <w:pPr>
        <w:spacing w:after="0" w:line="250" w:lineRule="auto"/>
        <w:ind w:left="0" w:right="427" w:firstLine="0"/>
      </w:pPr>
      <w:r>
        <w:rPr>
          <w:b/>
          <w:sz w:val="22"/>
        </w:rPr>
        <w:t xml:space="preserve">DOWN PAYMENT ASSISTANCE PROGRAM INFORMATION SUMMARY </w:t>
      </w:r>
    </w:p>
    <w:p w:rsidRPr="00EA65F7" w:rsidR="00EA65F7" w:rsidP="009E41CF" w:rsidRDefault="00EA65F7" w14:paraId="42FB0875" w14:textId="77777777">
      <w:pPr>
        <w:spacing w:after="0" w:line="250" w:lineRule="auto"/>
        <w:ind w:left="0" w:right="427" w:firstLine="0"/>
        <w:rPr>
          <w:sz w:val="16"/>
          <w:szCs w:val="16"/>
        </w:rPr>
      </w:pPr>
    </w:p>
    <w:p w:rsidR="0018754A" w:rsidRDefault="002E49C6" w14:paraId="33F3A7D9" w14:textId="77777777">
      <w:pPr>
        <w:spacing w:after="0" w:line="259" w:lineRule="auto"/>
        <w:ind w:left="0" w:firstLine="0"/>
      </w:pPr>
      <w:r>
        <w:rPr>
          <w:b/>
        </w:rPr>
        <w:t xml:space="preserve">Applicant's household income may not exceed 80% of the Area Median Household Income: </w:t>
      </w:r>
    </w:p>
    <w:tbl>
      <w:tblPr>
        <w:tblStyle w:val="TableGrid"/>
        <w:tblW w:w="10440" w:type="dxa"/>
        <w:tblInd w:w="-108" w:type="dxa"/>
        <w:tblCellMar>
          <w:left w:w="118" w:type="dxa"/>
          <w:right w:w="62" w:type="dxa"/>
        </w:tblCellMar>
        <w:tblLook w:val="04A0" w:firstRow="1" w:lastRow="0" w:firstColumn="1" w:lastColumn="0" w:noHBand="0" w:noVBand="1"/>
      </w:tblPr>
      <w:tblGrid>
        <w:gridCol w:w="1368"/>
        <w:gridCol w:w="953"/>
        <w:gridCol w:w="1159"/>
        <w:gridCol w:w="1159"/>
        <w:gridCol w:w="1162"/>
        <w:gridCol w:w="1159"/>
        <w:gridCol w:w="1159"/>
        <w:gridCol w:w="1162"/>
        <w:gridCol w:w="1159"/>
      </w:tblGrid>
      <w:tr w:rsidR="0018754A" w:rsidTr="790BE527" w14:paraId="33F3A7E4" w14:textId="77777777">
        <w:trPr>
          <w:trHeight w:val="413"/>
        </w:trPr>
        <w:tc>
          <w:tcPr>
            <w:tcW w:w="13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8754A" w:rsidP="790BE527" w:rsidRDefault="002E49C6" w14:paraId="33F3A7DB" w14:textId="1A599D7B">
            <w:pPr>
              <w:spacing w:after="0" w:line="259" w:lineRule="auto"/>
              <w:ind w:left="50" w:firstLine="0"/>
            </w:pPr>
            <w:r w:rsidRPr="790BE527">
              <w:rPr>
                <w:b/>
                <w:bCs/>
              </w:rPr>
              <w:t xml:space="preserve">Household </w:t>
            </w:r>
            <w:r w:rsidRPr="790BE527" w:rsidR="18A0B241">
              <w:rPr>
                <w:b/>
                <w:bCs/>
              </w:rPr>
              <w:t xml:space="preserve">    </w:t>
            </w:r>
            <w:r w:rsidRPr="790BE527">
              <w:rPr>
                <w:b/>
                <w:bCs/>
              </w:rPr>
              <w:t xml:space="preserve"># </w:t>
            </w:r>
          </w:p>
        </w:tc>
        <w:tc>
          <w:tcPr>
            <w:tcW w:w="9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8754A" w:rsidRDefault="002E49C6" w14:paraId="33F3A7DC" w14:textId="77777777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1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8754A" w:rsidRDefault="002E49C6" w14:paraId="33F3A7DD" w14:textId="77777777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1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8754A" w:rsidRDefault="002E49C6" w14:paraId="33F3A7DE" w14:textId="77777777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1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8754A" w:rsidRDefault="002E49C6" w14:paraId="33F3A7DF" w14:textId="7777777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1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8754A" w:rsidRDefault="002E49C6" w14:paraId="33F3A7E0" w14:textId="77777777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1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8754A" w:rsidRDefault="002E49C6" w14:paraId="33F3A7E1" w14:textId="77777777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11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8754A" w:rsidRDefault="002E49C6" w14:paraId="33F3A7E2" w14:textId="77777777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11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8754A" w:rsidRDefault="002E49C6" w14:paraId="33F3A7E3" w14:textId="77777777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8 </w:t>
            </w:r>
          </w:p>
        </w:tc>
      </w:tr>
      <w:tr w:rsidR="00081B9A" w:rsidTr="790BE527" w14:paraId="33F3A7EE" w14:textId="77777777">
        <w:trPr>
          <w:trHeight w:val="485"/>
        </w:trPr>
        <w:tc>
          <w:tcPr>
            <w:tcW w:w="13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081B9A" w:rsidP="00081B9A" w:rsidRDefault="00081B9A" w14:paraId="33F3A7E5" w14:textId="7777777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Max. Income </w:t>
            </w:r>
          </w:p>
        </w:tc>
        <w:tc>
          <w:tcPr>
            <w:tcW w:w="9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081B9A" w:rsidP="00081B9A" w:rsidRDefault="00081B9A" w14:paraId="33F3A7E6" w14:textId="28E8FE21">
            <w:pPr>
              <w:spacing w:after="0" w:line="259" w:lineRule="auto"/>
              <w:ind w:left="0" w:firstLine="0"/>
            </w:pPr>
            <w:r w:rsidRPr="001A60DE">
              <w:t>$</w:t>
            </w:r>
            <w:r>
              <w:t>49,</w:t>
            </w:r>
            <w:r w:rsidR="00CB2338">
              <w:t>6</w:t>
            </w:r>
            <w:r>
              <w:t>00</w:t>
            </w:r>
          </w:p>
        </w:tc>
        <w:tc>
          <w:tcPr>
            <w:tcW w:w="11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081B9A" w:rsidP="00081B9A" w:rsidRDefault="00081B9A" w14:paraId="33F3A7E7" w14:textId="787EC0C0">
            <w:pPr>
              <w:spacing w:after="0" w:line="259" w:lineRule="auto"/>
              <w:ind w:left="0" w:right="55" w:firstLine="0"/>
              <w:jc w:val="center"/>
            </w:pPr>
            <w:r w:rsidRPr="001A60DE">
              <w:t>$</w:t>
            </w:r>
            <w:r>
              <w:t>56,</w:t>
            </w:r>
            <w:r w:rsidR="005C2C1F">
              <w:t>6</w:t>
            </w:r>
            <w:r>
              <w:t>50</w:t>
            </w:r>
            <w:r w:rsidRPr="001A60DE">
              <w:t xml:space="preserve"> </w:t>
            </w:r>
          </w:p>
        </w:tc>
        <w:tc>
          <w:tcPr>
            <w:tcW w:w="11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081B9A" w:rsidP="00081B9A" w:rsidRDefault="00081B9A" w14:paraId="33F3A7E8" w14:textId="18EF9546">
            <w:pPr>
              <w:spacing w:after="0" w:line="259" w:lineRule="auto"/>
              <w:ind w:left="0" w:right="55" w:firstLine="0"/>
              <w:jc w:val="center"/>
            </w:pPr>
            <w:r>
              <w:t>$63,</w:t>
            </w:r>
            <w:r w:rsidR="005C2C1F">
              <w:t>7</w:t>
            </w:r>
            <w:r>
              <w:t>50</w:t>
            </w:r>
          </w:p>
        </w:tc>
        <w:tc>
          <w:tcPr>
            <w:tcW w:w="11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081B9A" w:rsidP="00081B9A" w:rsidRDefault="00081B9A" w14:paraId="33F3A7E9" w14:textId="05A7CE23">
            <w:pPr>
              <w:spacing w:after="0" w:line="259" w:lineRule="auto"/>
              <w:ind w:left="0" w:right="58" w:firstLine="0"/>
              <w:jc w:val="center"/>
            </w:pPr>
            <w:r w:rsidRPr="001A60DE">
              <w:t>$</w:t>
            </w:r>
            <w:r>
              <w:t>70,</w:t>
            </w:r>
            <w:r w:rsidR="005C2C1F">
              <w:t>8</w:t>
            </w:r>
            <w:r>
              <w:t>00</w:t>
            </w:r>
            <w:r w:rsidRPr="001A60DE">
              <w:t xml:space="preserve"> </w:t>
            </w:r>
          </w:p>
        </w:tc>
        <w:tc>
          <w:tcPr>
            <w:tcW w:w="11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081B9A" w:rsidP="00081B9A" w:rsidRDefault="00081B9A" w14:paraId="33F3A7EA" w14:textId="2D2F3E0F">
            <w:pPr>
              <w:spacing w:after="0" w:line="259" w:lineRule="auto"/>
              <w:ind w:left="0" w:right="56" w:firstLine="0"/>
              <w:jc w:val="center"/>
            </w:pPr>
            <w:r w:rsidRPr="001A60DE">
              <w:t>$</w:t>
            </w:r>
            <w:r>
              <w:t>76,</w:t>
            </w:r>
            <w:r w:rsidR="005C2C1F">
              <w:t>500</w:t>
            </w:r>
            <w:r w:rsidRPr="001A60DE">
              <w:t xml:space="preserve"> </w:t>
            </w:r>
          </w:p>
        </w:tc>
        <w:tc>
          <w:tcPr>
            <w:tcW w:w="11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081B9A" w:rsidP="00081B9A" w:rsidRDefault="00081B9A" w14:paraId="33F3A7EB" w14:textId="38475052">
            <w:pPr>
              <w:spacing w:after="0" w:line="259" w:lineRule="auto"/>
              <w:ind w:left="0" w:right="56" w:firstLine="0"/>
              <w:jc w:val="center"/>
            </w:pPr>
            <w:r w:rsidRPr="001A60DE">
              <w:t>$</w:t>
            </w:r>
            <w:r>
              <w:t>82,</w:t>
            </w:r>
            <w:r w:rsidR="00194E28">
              <w:t>1</w:t>
            </w:r>
            <w:r>
              <w:t>50</w:t>
            </w:r>
          </w:p>
        </w:tc>
        <w:tc>
          <w:tcPr>
            <w:tcW w:w="11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081B9A" w:rsidP="00081B9A" w:rsidRDefault="00081B9A" w14:paraId="33F3A7EC" w14:textId="35D9A9E7">
            <w:pPr>
              <w:spacing w:after="0" w:line="259" w:lineRule="auto"/>
              <w:ind w:left="0" w:right="59" w:firstLine="0"/>
              <w:jc w:val="center"/>
            </w:pPr>
            <w:r w:rsidRPr="001A60DE">
              <w:t>$</w:t>
            </w:r>
            <w:r>
              <w:t>87,</w:t>
            </w:r>
            <w:r w:rsidR="00194E28">
              <w:t>8</w:t>
            </w:r>
            <w:r>
              <w:t>00</w:t>
            </w:r>
            <w:r w:rsidRPr="001A60DE">
              <w:t xml:space="preserve"> </w:t>
            </w:r>
          </w:p>
        </w:tc>
        <w:tc>
          <w:tcPr>
            <w:tcW w:w="11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081B9A" w:rsidP="00081B9A" w:rsidRDefault="00081B9A" w14:paraId="33F3A7ED" w14:textId="7FD4B60A">
            <w:pPr>
              <w:spacing w:after="0" w:line="259" w:lineRule="auto"/>
              <w:ind w:left="0" w:right="57" w:firstLine="0"/>
              <w:jc w:val="center"/>
            </w:pPr>
            <w:r w:rsidRPr="001A60DE">
              <w:t>$</w:t>
            </w:r>
            <w:r>
              <w:t>93,</w:t>
            </w:r>
            <w:r w:rsidR="00A91B48">
              <w:t>500</w:t>
            </w:r>
            <w:r w:rsidRPr="001A60DE">
              <w:t xml:space="preserve"> </w:t>
            </w:r>
          </w:p>
        </w:tc>
      </w:tr>
    </w:tbl>
    <w:p w:rsidRPr="00C24682" w:rsidR="0018754A" w:rsidRDefault="0018754A" w14:paraId="33F3A7EF" w14:textId="56980C80">
      <w:pPr>
        <w:spacing w:after="14" w:line="259" w:lineRule="auto"/>
        <w:ind w:left="0" w:firstLine="0"/>
        <w:rPr>
          <w:sz w:val="16"/>
          <w:szCs w:val="16"/>
        </w:rPr>
      </w:pPr>
    </w:p>
    <w:p w:rsidRPr="002E49C6" w:rsidR="0018754A" w:rsidRDefault="002E49C6" w14:paraId="33F3A7F0" w14:textId="44C34B08">
      <w:pPr>
        <w:ind w:left="-5"/>
        <w:rPr>
          <w:sz w:val="18"/>
          <w:szCs w:val="18"/>
        </w:rPr>
      </w:pPr>
      <w:r w:rsidRPr="002E49C6">
        <w:rPr>
          <w:b/>
          <w:sz w:val="18"/>
          <w:szCs w:val="18"/>
        </w:rPr>
        <w:t>Application Fee</w:t>
      </w:r>
      <w:r w:rsidRPr="002E49C6">
        <w:rPr>
          <w:sz w:val="18"/>
          <w:szCs w:val="18"/>
        </w:rPr>
        <w:t>:  Applicants must pay a $</w:t>
      </w:r>
      <w:r w:rsidR="006300DC">
        <w:rPr>
          <w:sz w:val="18"/>
          <w:szCs w:val="18"/>
        </w:rPr>
        <w:t>30</w:t>
      </w:r>
      <w:r w:rsidRPr="002E49C6">
        <w:rPr>
          <w:sz w:val="18"/>
          <w:szCs w:val="18"/>
        </w:rPr>
        <w:t xml:space="preserve"> application fee at the time of application or pre-application. </w:t>
      </w:r>
    </w:p>
    <w:p w:rsidRPr="00C24682" w:rsidR="0018754A" w:rsidRDefault="002E49C6" w14:paraId="33F3A7F1" w14:textId="77777777">
      <w:pPr>
        <w:spacing w:after="14" w:line="259" w:lineRule="auto"/>
        <w:ind w:left="0" w:firstLine="0"/>
        <w:rPr>
          <w:sz w:val="16"/>
          <w:szCs w:val="16"/>
        </w:rPr>
      </w:pPr>
      <w:r w:rsidRPr="002E49C6">
        <w:rPr>
          <w:b/>
          <w:sz w:val="18"/>
          <w:szCs w:val="18"/>
        </w:rPr>
        <w:t xml:space="preserve"> </w:t>
      </w:r>
    </w:p>
    <w:p w:rsidRPr="002E49C6" w:rsidR="005625B5" w:rsidP="005625B5" w:rsidRDefault="002E49C6" w14:paraId="33F3A7F2" w14:textId="33E644C4">
      <w:pPr>
        <w:ind w:left="-5"/>
        <w:rPr>
          <w:sz w:val="18"/>
          <w:szCs w:val="18"/>
        </w:rPr>
      </w:pPr>
      <w:r w:rsidRPr="22C0468A" w:rsidR="002E49C6">
        <w:rPr>
          <w:b w:val="1"/>
          <w:bCs w:val="1"/>
          <w:sz w:val="18"/>
          <w:szCs w:val="18"/>
        </w:rPr>
        <w:t>Down Payment Assistance:</w:t>
      </w:r>
      <w:r w:rsidRPr="22C0468A" w:rsidR="002E49C6">
        <w:rPr>
          <w:sz w:val="18"/>
          <w:szCs w:val="18"/>
        </w:rPr>
        <w:t xml:space="preserve"> Shared equity gap financing of up to 30% of the sales</w:t>
      </w:r>
      <w:r w:rsidRPr="22C0468A" w:rsidR="006948DF">
        <w:rPr>
          <w:sz w:val="18"/>
          <w:szCs w:val="18"/>
        </w:rPr>
        <w:t xml:space="preserve"> price</w:t>
      </w:r>
      <w:r w:rsidRPr="22C0468A" w:rsidR="002E49C6">
        <w:rPr>
          <w:sz w:val="18"/>
          <w:szCs w:val="18"/>
        </w:rPr>
        <w:t xml:space="preserve"> capped at $</w:t>
      </w:r>
      <w:r w:rsidRPr="22C0468A" w:rsidR="61448F16">
        <w:rPr>
          <w:sz w:val="18"/>
          <w:szCs w:val="18"/>
        </w:rPr>
        <w:t>8</w:t>
      </w:r>
      <w:r w:rsidRPr="22C0468A" w:rsidR="00585C58">
        <w:rPr>
          <w:sz w:val="18"/>
          <w:szCs w:val="18"/>
        </w:rPr>
        <w:t>0,000</w:t>
      </w:r>
      <w:r w:rsidRPr="22C0468A" w:rsidR="002E49C6">
        <w:rPr>
          <w:sz w:val="18"/>
          <w:szCs w:val="18"/>
        </w:rPr>
        <w:t xml:space="preserve"> on any home for sale in the City of College Station is available. </w:t>
      </w:r>
      <w:r w:rsidRPr="22C0468A" w:rsidR="006948DF">
        <w:rPr>
          <w:sz w:val="18"/>
          <w:szCs w:val="18"/>
        </w:rPr>
        <w:t xml:space="preserve">The </w:t>
      </w:r>
      <w:r w:rsidRPr="22C0468A" w:rsidR="006948DF">
        <w:rPr>
          <w:sz w:val="18"/>
          <w:szCs w:val="18"/>
        </w:rPr>
        <w:t>a</w:t>
      </w:r>
      <w:r w:rsidRPr="22C0468A" w:rsidR="002E49C6">
        <w:rPr>
          <w:sz w:val="18"/>
          <w:szCs w:val="18"/>
        </w:rPr>
        <w:t>ssistance</w:t>
      </w:r>
      <w:r w:rsidRPr="22C0468A" w:rsidR="002E49C6">
        <w:rPr>
          <w:sz w:val="18"/>
          <w:szCs w:val="18"/>
        </w:rPr>
        <w:t xml:space="preserve"> amount is </w:t>
      </w:r>
      <w:r w:rsidRPr="22C0468A" w:rsidR="002E49C6">
        <w:rPr>
          <w:sz w:val="18"/>
          <w:szCs w:val="18"/>
        </w:rPr>
        <w:t>determined</w:t>
      </w:r>
      <w:r w:rsidRPr="22C0468A" w:rsidR="002E49C6">
        <w:rPr>
          <w:sz w:val="18"/>
          <w:szCs w:val="18"/>
        </w:rPr>
        <w:t xml:space="preserve"> by the borrower’s </w:t>
      </w:r>
      <w:r w:rsidRPr="22C0468A" w:rsidR="002E49C6">
        <w:rPr>
          <w:sz w:val="18"/>
          <w:szCs w:val="18"/>
        </w:rPr>
        <w:t>demonstrated</w:t>
      </w:r>
      <w:r w:rsidRPr="22C0468A" w:rsidR="002E49C6">
        <w:rPr>
          <w:sz w:val="18"/>
          <w:szCs w:val="18"/>
        </w:rPr>
        <w:t xml:space="preserve"> need or “financial gap.” The loan is deferred and non-interest bearing. The buyer signs a note and deed of trust with the city. The percentage of equity repayable is </w:t>
      </w:r>
      <w:r w:rsidRPr="22C0468A" w:rsidR="002E49C6">
        <w:rPr>
          <w:sz w:val="18"/>
          <w:szCs w:val="18"/>
        </w:rPr>
        <w:t>determined</w:t>
      </w:r>
      <w:r w:rsidRPr="22C0468A" w:rsidR="002E49C6">
        <w:rPr>
          <w:sz w:val="18"/>
          <w:szCs w:val="18"/>
        </w:rPr>
        <w:t xml:space="preserve"> by the </w:t>
      </w:r>
      <w:r w:rsidRPr="22C0468A" w:rsidR="002E49C6">
        <w:rPr>
          <w:sz w:val="18"/>
          <w:szCs w:val="18"/>
        </w:rPr>
        <w:t>assistance</w:t>
      </w:r>
      <w:r w:rsidRPr="22C0468A" w:rsidR="002E49C6">
        <w:rPr>
          <w:sz w:val="18"/>
          <w:szCs w:val="18"/>
        </w:rPr>
        <w:t xml:space="preserve"> amount divided by the cost to </w:t>
      </w:r>
      <w:r w:rsidRPr="22C0468A" w:rsidR="002E49C6">
        <w:rPr>
          <w:sz w:val="18"/>
          <w:szCs w:val="18"/>
        </w:rPr>
        <w:t>acquire</w:t>
      </w:r>
      <w:r w:rsidRPr="22C0468A" w:rsidR="002E49C6">
        <w:rPr>
          <w:sz w:val="18"/>
          <w:szCs w:val="18"/>
        </w:rPr>
        <w:t xml:space="preserve"> the property multiplied by the equity realized at time of sale. </w:t>
      </w:r>
      <w:r w:rsidRPr="22C0468A" w:rsidR="006948DF">
        <w:rPr>
          <w:sz w:val="18"/>
          <w:szCs w:val="18"/>
        </w:rPr>
        <w:t>The o</w:t>
      </w:r>
      <w:r w:rsidRPr="22C0468A" w:rsidR="002E49C6">
        <w:rPr>
          <w:sz w:val="18"/>
          <w:szCs w:val="18"/>
        </w:rPr>
        <w:t xml:space="preserve">riginal loan amount plus the shared equity amount is paid back upon sale of the property, or when the buyer ceases to owner-occupy.  </w:t>
      </w:r>
    </w:p>
    <w:p w:rsidRPr="00C24682" w:rsidR="0018754A" w:rsidP="005625B5" w:rsidRDefault="002E49C6" w14:paraId="33F3A7F3" w14:textId="77777777">
      <w:pPr>
        <w:ind w:left="-5"/>
        <w:rPr>
          <w:sz w:val="16"/>
          <w:szCs w:val="16"/>
        </w:rPr>
      </w:pPr>
      <w:r w:rsidRPr="002E49C6">
        <w:rPr>
          <w:sz w:val="18"/>
          <w:szCs w:val="18"/>
        </w:rPr>
        <w:t xml:space="preserve"> </w:t>
      </w:r>
    </w:p>
    <w:p w:rsidRPr="002E49C6" w:rsidR="0018754A" w:rsidRDefault="002E49C6" w14:paraId="33F3A7F4" w14:textId="77777777">
      <w:pPr>
        <w:ind w:left="-5"/>
        <w:rPr>
          <w:sz w:val="18"/>
          <w:szCs w:val="18"/>
        </w:rPr>
      </w:pPr>
      <w:r w:rsidRPr="002E49C6">
        <w:rPr>
          <w:sz w:val="18"/>
          <w:szCs w:val="18"/>
        </w:rPr>
        <w:t xml:space="preserve">Homebuyers must contribute a minimum of 1.5% of the total sales price of the home at closing (including earnest money).  </w:t>
      </w:r>
    </w:p>
    <w:p w:rsidRPr="00C24682" w:rsidR="00FA1520" w:rsidRDefault="00FA1520" w14:paraId="25ED9E90" w14:textId="27E8C17F">
      <w:pPr>
        <w:spacing w:after="21" w:line="259" w:lineRule="auto"/>
        <w:ind w:left="0" w:firstLine="0"/>
        <w:rPr>
          <w:sz w:val="16"/>
          <w:szCs w:val="16"/>
        </w:rPr>
      </w:pPr>
    </w:p>
    <w:p w:rsidR="00FA1520" w:rsidRDefault="00B379BE" w14:paraId="2753EE0B" w14:textId="32778122">
      <w:pPr>
        <w:spacing w:after="21" w:line="259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Homebuyers must receive housing counseling provided by a HUD-approved counselor and housing counseling </w:t>
      </w:r>
      <w:r w:rsidR="00FF2520">
        <w:rPr>
          <w:sz w:val="18"/>
          <w:szCs w:val="18"/>
        </w:rPr>
        <w:t xml:space="preserve">agency prior to closing. </w:t>
      </w:r>
    </w:p>
    <w:p w:rsidRPr="00C24682" w:rsidR="0018754A" w:rsidRDefault="002E49C6" w14:paraId="33F3A7F5" w14:textId="1999375D">
      <w:pPr>
        <w:spacing w:after="21" w:line="259" w:lineRule="auto"/>
        <w:ind w:left="0" w:firstLine="0"/>
        <w:rPr>
          <w:sz w:val="16"/>
          <w:szCs w:val="16"/>
        </w:rPr>
      </w:pPr>
      <w:r w:rsidRPr="002E49C6">
        <w:rPr>
          <w:sz w:val="18"/>
          <w:szCs w:val="18"/>
        </w:rPr>
        <w:t xml:space="preserve"> </w:t>
      </w:r>
    </w:p>
    <w:p w:rsidRPr="002E49C6" w:rsidR="0018754A" w:rsidRDefault="002E49C6" w14:paraId="33F3A7F6" w14:textId="77777777">
      <w:pPr>
        <w:ind w:left="-5"/>
        <w:rPr>
          <w:sz w:val="18"/>
          <w:szCs w:val="18"/>
        </w:rPr>
      </w:pPr>
      <w:r w:rsidRPr="002E49C6">
        <w:rPr>
          <w:sz w:val="18"/>
          <w:szCs w:val="18"/>
        </w:rPr>
        <w:t xml:space="preserve">Affordability shall be determined by ensuring the total PITI payment is not less than 20% but not more than 35% of the monthly income of the eligible homebuyer.  The maximum total debt to income ratio is 45%. </w:t>
      </w:r>
    </w:p>
    <w:p w:rsidRPr="00C24682" w:rsidR="0018754A" w:rsidRDefault="002E49C6" w14:paraId="33F3A7F7" w14:textId="77777777">
      <w:pPr>
        <w:spacing w:after="21" w:line="259" w:lineRule="auto"/>
        <w:ind w:left="0" w:firstLine="0"/>
        <w:rPr>
          <w:sz w:val="16"/>
          <w:szCs w:val="16"/>
        </w:rPr>
      </w:pPr>
      <w:r w:rsidRPr="002E49C6">
        <w:rPr>
          <w:sz w:val="18"/>
          <w:szCs w:val="18"/>
        </w:rPr>
        <w:t xml:space="preserve"> </w:t>
      </w:r>
    </w:p>
    <w:p w:rsidRPr="002E49C6" w:rsidR="0018754A" w:rsidRDefault="002E49C6" w14:paraId="33F3A7F8" w14:textId="77777777">
      <w:pPr>
        <w:ind w:left="-5"/>
        <w:rPr>
          <w:sz w:val="18"/>
          <w:szCs w:val="18"/>
        </w:rPr>
      </w:pPr>
      <w:r w:rsidRPr="002E49C6">
        <w:rPr>
          <w:sz w:val="18"/>
          <w:szCs w:val="18"/>
        </w:rPr>
        <w:t xml:space="preserve">Average credit score of no less than 600. No bankruptcies, foreclosures, student loan delinquencies, child support delinquencies, tax delinquencies, or repossessions within the past two years. </w:t>
      </w:r>
    </w:p>
    <w:p w:rsidRPr="00C24682" w:rsidR="0018754A" w:rsidRDefault="002E49C6" w14:paraId="33F3A7F9" w14:textId="77777777">
      <w:pPr>
        <w:spacing w:after="21" w:line="259" w:lineRule="auto"/>
        <w:ind w:left="0" w:firstLine="0"/>
        <w:rPr>
          <w:sz w:val="16"/>
          <w:szCs w:val="16"/>
        </w:rPr>
      </w:pPr>
      <w:r w:rsidRPr="002E49C6">
        <w:rPr>
          <w:sz w:val="18"/>
          <w:szCs w:val="18"/>
        </w:rPr>
        <w:t xml:space="preserve"> </w:t>
      </w:r>
    </w:p>
    <w:p w:rsidRPr="002E49C6" w:rsidR="0018754A" w:rsidRDefault="002E49C6" w14:paraId="33F3A7FA" w14:textId="77777777">
      <w:pPr>
        <w:ind w:left="-5"/>
        <w:rPr>
          <w:sz w:val="18"/>
          <w:szCs w:val="18"/>
        </w:rPr>
      </w:pPr>
      <w:r w:rsidRPr="002E49C6">
        <w:rPr>
          <w:sz w:val="18"/>
          <w:szCs w:val="18"/>
        </w:rPr>
        <w:t xml:space="preserve">Minimum employment history in the same job, or in the case of professional, salaried employees, in the same field of employment for a minimum of six (6) months. </w:t>
      </w:r>
    </w:p>
    <w:p w:rsidRPr="00C24682" w:rsidR="0018754A" w:rsidRDefault="002E49C6" w14:paraId="33F3A7FB" w14:textId="77777777">
      <w:pPr>
        <w:spacing w:after="21" w:line="259" w:lineRule="auto"/>
        <w:ind w:left="0" w:firstLine="0"/>
        <w:rPr>
          <w:sz w:val="16"/>
          <w:szCs w:val="16"/>
        </w:rPr>
      </w:pPr>
      <w:r w:rsidRPr="002E49C6">
        <w:rPr>
          <w:sz w:val="18"/>
          <w:szCs w:val="18"/>
        </w:rPr>
        <w:t xml:space="preserve"> </w:t>
      </w:r>
    </w:p>
    <w:p w:rsidRPr="002E49C6" w:rsidR="0018754A" w:rsidRDefault="002E49C6" w14:paraId="33F3A7FC" w14:textId="77777777">
      <w:pPr>
        <w:ind w:left="-5"/>
        <w:rPr>
          <w:sz w:val="18"/>
          <w:szCs w:val="18"/>
        </w:rPr>
      </w:pPr>
      <w:r w:rsidRPr="002E49C6">
        <w:rPr>
          <w:sz w:val="18"/>
          <w:szCs w:val="18"/>
        </w:rPr>
        <w:t xml:space="preserve">Applicants may not have more than $20,000 in liquid assets, excluding retirement accounts and personal property. </w:t>
      </w:r>
    </w:p>
    <w:p w:rsidRPr="00C24682" w:rsidR="0018754A" w:rsidRDefault="002E49C6" w14:paraId="33F3A7FD" w14:textId="77777777">
      <w:pPr>
        <w:spacing w:after="0" w:line="259" w:lineRule="auto"/>
        <w:ind w:left="0" w:firstLine="0"/>
        <w:rPr>
          <w:sz w:val="16"/>
          <w:szCs w:val="16"/>
        </w:rPr>
      </w:pPr>
      <w:r w:rsidRPr="002E49C6">
        <w:rPr>
          <w:sz w:val="18"/>
          <w:szCs w:val="18"/>
        </w:rPr>
        <w:t xml:space="preserve"> </w:t>
      </w:r>
    </w:p>
    <w:p w:rsidRPr="002E49C6" w:rsidR="0018754A" w:rsidRDefault="002E49C6" w14:paraId="33F3A7FE" w14:textId="77777777">
      <w:pPr>
        <w:ind w:left="-5"/>
        <w:rPr>
          <w:sz w:val="18"/>
          <w:szCs w:val="18"/>
        </w:rPr>
      </w:pPr>
      <w:r w:rsidRPr="002E49C6">
        <w:rPr>
          <w:sz w:val="18"/>
          <w:szCs w:val="18"/>
        </w:rPr>
        <w:t xml:space="preserve">Applicants must be U.S. Citizens, U.S. Non-Citizen Nationals, or Qualified Aliens (Dept. of Homeland Security verification). </w:t>
      </w:r>
    </w:p>
    <w:p w:rsidRPr="00C24682" w:rsidR="0018754A" w:rsidRDefault="002E49C6" w14:paraId="33F3A7FF" w14:textId="77777777">
      <w:pPr>
        <w:spacing w:after="21" w:line="259" w:lineRule="auto"/>
        <w:ind w:left="0" w:firstLine="0"/>
        <w:rPr>
          <w:sz w:val="16"/>
          <w:szCs w:val="16"/>
        </w:rPr>
      </w:pPr>
      <w:r w:rsidRPr="002E49C6">
        <w:rPr>
          <w:sz w:val="18"/>
          <w:szCs w:val="18"/>
        </w:rPr>
        <w:t xml:space="preserve"> </w:t>
      </w:r>
    </w:p>
    <w:p w:rsidRPr="002E49C6" w:rsidR="0018754A" w:rsidRDefault="002E49C6" w14:paraId="33F3A800" w14:textId="77777777">
      <w:pPr>
        <w:ind w:left="-5"/>
        <w:rPr>
          <w:sz w:val="18"/>
          <w:szCs w:val="18"/>
        </w:rPr>
      </w:pPr>
      <w:r w:rsidRPr="002E49C6">
        <w:rPr>
          <w:sz w:val="18"/>
          <w:szCs w:val="18"/>
        </w:rPr>
        <w:t xml:space="preserve">Lenders must be licensed in the state of Texas and provide escrow services to buyers for insurance and property taxes. </w:t>
      </w:r>
    </w:p>
    <w:p w:rsidRPr="00C24682" w:rsidR="0018754A" w:rsidRDefault="002E49C6" w14:paraId="33F3A801" w14:textId="77777777">
      <w:pPr>
        <w:spacing w:after="21" w:line="259" w:lineRule="auto"/>
        <w:ind w:left="0" w:firstLine="0"/>
        <w:rPr>
          <w:sz w:val="16"/>
          <w:szCs w:val="16"/>
        </w:rPr>
      </w:pPr>
      <w:r w:rsidRPr="002E49C6">
        <w:rPr>
          <w:sz w:val="18"/>
          <w:szCs w:val="18"/>
        </w:rPr>
        <w:t xml:space="preserve"> </w:t>
      </w:r>
    </w:p>
    <w:p w:rsidRPr="002E49C6" w:rsidR="0018754A" w:rsidRDefault="002E49C6" w14:paraId="33F3A802" w14:textId="77777777">
      <w:pPr>
        <w:ind w:left="-5"/>
        <w:rPr>
          <w:sz w:val="18"/>
          <w:szCs w:val="18"/>
        </w:rPr>
      </w:pPr>
      <w:r w:rsidRPr="002E49C6">
        <w:rPr>
          <w:sz w:val="18"/>
          <w:szCs w:val="18"/>
        </w:rPr>
        <w:t xml:space="preserve">The mortgage interest rate may not exceed the local average mortgage rate by more than 1.5 points.  The mortgage must be at least 15 years, have a fixed rate for the life of the loan, and be fully amortizing. </w:t>
      </w:r>
    </w:p>
    <w:p w:rsidRPr="00C24682" w:rsidR="0018754A" w:rsidRDefault="002E49C6" w14:paraId="33F3A803" w14:textId="77777777">
      <w:pPr>
        <w:spacing w:after="0" w:line="259" w:lineRule="auto"/>
        <w:ind w:left="0" w:firstLine="0"/>
        <w:rPr>
          <w:sz w:val="16"/>
          <w:szCs w:val="16"/>
        </w:rPr>
      </w:pPr>
      <w:r w:rsidRPr="002E49C6">
        <w:rPr>
          <w:sz w:val="18"/>
          <w:szCs w:val="18"/>
        </w:rPr>
        <w:t xml:space="preserve"> </w:t>
      </w:r>
    </w:p>
    <w:p w:rsidRPr="002E49C6" w:rsidR="0018754A" w:rsidRDefault="002E49C6" w14:paraId="33F3A804" w14:textId="77777777">
      <w:pPr>
        <w:ind w:left="-5"/>
        <w:rPr>
          <w:sz w:val="18"/>
          <w:szCs w:val="18"/>
        </w:rPr>
      </w:pPr>
      <w:r w:rsidRPr="002E49C6">
        <w:rPr>
          <w:sz w:val="18"/>
          <w:szCs w:val="18"/>
        </w:rPr>
        <w:t xml:space="preserve">The maximum home price shall not exceed the exceed 95% of the median area purchase price for the same type of residence for the College Station/Bryan area. </w:t>
      </w:r>
      <w:r w:rsidRPr="002E49C6">
        <w:rPr>
          <w:b/>
          <w:sz w:val="18"/>
          <w:szCs w:val="18"/>
        </w:rPr>
        <w:t xml:space="preserve"> </w:t>
      </w:r>
    </w:p>
    <w:p w:rsidRPr="00C24682" w:rsidR="0018754A" w:rsidRDefault="002E49C6" w14:paraId="33F3A805" w14:textId="77777777">
      <w:pPr>
        <w:spacing w:after="8" w:line="259" w:lineRule="auto"/>
        <w:ind w:left="0" w:firstLine="0"/>
        <w:rPr>
          <w:sz w:val="16"/>
          <w:szCs w:val="16"/>
        </w:rPr>
      </w:pPr>
      <w:r w:rsidRPr="002E49C6">
        <w:rPr>
          <w:b/>
          <w:sz w:val="18"/>
          <w:szCs w:val="18"/>
        </w:rPr>
        <w:t xml:space="preserve"> </w:t>
      </w:r>
    </w:p>
    <w:p w:rsidRPr="002E49C6" w:rsidR="0018754A" w:rsidRDefault="002E49C6" w14:paraId="33F3A806" w14:textId="77777777">
      <w:pPr>
        <w:ind w:left="-5"/>
        <w:rPr>
          <w:sz w:val="18"/>
          <w:szCs w:val="18"/>
        </w:rPr>
      </w:pPr>
      <w:r w:rsidRPr="002E49C6">
        <w:rPr>
          <w:sz w:val="18"/>
          <w:szCs w:val="18"/>
        </w:rPr>
        <w:t xml:space="preserve">A maximum of 30% of the DAP subsidy may go towards closing costs or points. </w:t>
      </w:r>
      <w:r w:rsidRPr="002E49C6">
        <w:rPr>
          <w:b/>
          <w:sz w:val="18"/>
          <w:szCs w:val="18"/>
        </w:rPr>
        <w:t xml:space="preserve"> </w:t>
      </w:r>
    </w:p>
    <w:p w:rsidRPr="00C24682" w:rsidR="0018754A" w:rsidRDefault="002E49C6" w14:paraId="33F3A807" w14:textId="77777777">
      <w:pPr>
        <w:spacing w:after="24" w:line="259" w:lineRule="auto"/>
        <w:ind w:left="0" w:firstLine="0"/>
        <w:rPr>
          <w:sz w:val="16"/>
          <w:szCs w:val="16"/>
        </w:rPr>
      </w:pPr>
      <w:r w:rsidRPr="002E49C6">
        <w:rPr>
          <w:b/>
          <w:sz w:val="18"/>
          <w:szCs w:val="18"/>
        </w:rPr>
        <w:t xml:space="preserve"> </w:t>
      </w:r>
    </w:p>
    <w:p w:rsidRPr="002E49C6" w:rsidR="0018754A" w:rsidRDefault="002E49C6" w14:paraId="33F3A808" w14:textId="77777777">
      <w:pPr>
        <w:ind w:left="-5"/>
        <w:rPr>
          <w:sz w:val="18"/>
          <w:szCs w:val="18"/>
        </w:rPr>
      </w:pPr>
      <w:r w:rsidRPr="002E49C6">
        <w:rPr>
          <w:sz w:val="18"/>
          <w:szCs w:val="18"/>
        </w:rPr>
        <w:t>Homes constructed prior to 1978 must have passed a lead-based paint risk assessment by a State of Texas licensed Lead Risk Assessor.</w:t>
      </w:r>
      <w:r w:rsidRPr="002E49C6">
        <w:rPr>
          <w:b/>
          <w:sz w:val="18"/>
          <w:szCs w:val="18"/>
        </w:rPr>
        <w:t xml:space="preserve"> </w:t>
      </w:r>
    </w:p>
    <w:p w:rsidRPr="00C24682" w:rsidR="0018754A" w:rsidRDefault="002E49C6" w14:paraId="33F3A809" w14:textId="77777777">
      <w:pPr>
        <w:spacing w:after="24" w:line="259" w:lineRule="auto"/>
        <w:ind w:left="0" w:firstLine="0"/>
        <w:rPr>
          <w:sz w:val="16"/>
          <w:szCs w:val="16"/>
        </w:rPr>
      </w:pPr>
      <w:r w:rsidRPr="002E49C6">
        <w:rPr>
          <w:b/>
          <w:sz w:val="18"/>
          <w:szCs w:val="18"/>
        </w:rPr>
        <w:t xml:space="preserve"> </w:t>
      </w:r>
    </w:p>
    <w:p w:rsidRPr="002E49C6" w:rsidR="0018754A" w:rsidRDefault="002E49C6" w14:paraId="33F3A80A" w14:textId="77777777">
      <w:pPr>
        <w:ind w:left="-5"/>
        <w:rPr>
          <w:sz w:val="18"/>
          <w:szCs w:val="18"/>
        </w:rPr>
      </w:pPr>
      <w:r w:rsidRPr="002E49C6">
        <w:rPr>
          <w:sz w:val="18"/>
          <w:szCs w:val="18"/>
        </w:rPr>
        <w:t xml:space="preserve">Eligibility and approval is not determined until the city reviews the sales contract, lender information, and inspects the home. </w:t>
      </w:r>
    </w:p>
    <w:p w:rsidRPr="00C24682" w:rsidR="0018754A" w:rsidRDefault="002E49C6" w14:paraId="33F3A80B" w14:textId="77777777">
      <w:pPr>
        <w:spacing w:after="31" w:line="259" w:lineRule="auto"/>
        <w:ind w:left="0" w:firstLine="0"/>
        <w:rPr>
          <w:sz w:val="16"/>
          <w:szCs w:val="16"/>
        </w:rPr>
      </w:pPr>
      <w:r w:rsidRPr="002E49C6">
        <w:rPr>
          <w:sz w:val="18"/>
          <w:szCs w:val="18"/>
        </w:rPr>
        <w:t xml:space="preserve"> </w:t>
      </w:r>
    </w:p>
    <w:p w:rsidRPr="002E49C6" w:rsidR="0018754A" w:rsidRDefault="002E49C6" w14:paraId="33F3A80C" w14:textId="77777777">
      <w:pPr>
        <w:ind w:left="-5"/>
        <w:rPr>
          <w:sz w:val="18"/>
          <w:szCs w:val="18"/>
        </w:rPr>
      </w:pPr>
      <w:r w:rsidRPr="790BE527">
        <w:rPr>
          <w:sz w:val="18"/>
          <w:szCs w:val="18"/>
        </w:rPr>
        <w:t xml:space="preserve">Applicants are urged to complete the Down Payment Assistance application and approval process </w:t>
      </w:r>
      <w:r w:rsidRPr="790BE527">
        <w:rPr>
          <w:b/>
          <w:bCs/>
          <w:sz w:val="18"/>
          <w:szCs w:val="18"/>
        </w:rPr>
        <w:t>prior to making an offer</w:t>
      </w:r>
      <w:r w:rsidRPr="790BE527">
        <w:rPr>
          <w:sz w:val="18"/>
          <w:szCs w:val="18"/>
        </w:rPr>
        <w:t xml:space="preserve"> to purchase.  The Down Payment Assistance application and approval process normally takes three weeks.  Delay in submitting required documentation will delay the closing date.  Only Owner-Occupied or vacant homes may be purchased, unless the DAP participant is the tenant.  </w:t>
      </w:r>
      <w:r w:rsidRPr="790BE527">
        <w:rPr>
          <w:b/>
          <w:bCs/>
          <w:sz w:val="18"/>
          <w:szCs w:val="18"/>
          <w:u w:val="single"/>
        </w:rPr>
        <w:t>Tenant-occupied homes may not be purchased.</w:t>
      </w:r>
      <w:r w:rsidRPr="790BE527">
        <w:rPr>
          <w:b/>
          <w:bCs/>
          <w:sz w:val="18"/>
          <w:szCs w:val="18"/>
        </w:rPr>
        <w:t xml:space="preserve">   </w:t>
      </w:r>
    </w:p>
    <w:p w:rsidR="790BE527" w:rsidP="790BE527" w:rsidRDefault="790BE527" w14:paraId="2B1274CA" w14:textId="01C0C44E">
      <w:pPr>
        <w:ind w:left="-5"/>
        <w:rPr>
          <w:b/>
          <w:bCs/>
          <w:sz w:val="18"/>
          <w:szCs w:val="18"/>
        </w:rPr>
      </w:pPr>
    </w:p>
    <w:p w:rsidR="790BE527" w:rsidP="790BE527" w:rsidRDefault="790BE527" w14:paraId="0C0E9826" w14:textId="5F23D22F">
      <w:pPr>
        <w:ind w:left="-5"/>
        <w:rPr>
          <w:b/>
          <w:bCs/>
          <w:sz w:val="18"/>
          <w:szCs w:val="18"/>
        </w:rPr>
      </w:pPr>
    </w:p>
    <w:p w:rsidR="790BE527" w:rsidP="790BE527" w:rsidRDefault="790BE527" w14:paraId="2319F1F8" w14:textId="48B28F8B">
      <w:pPr>
        <w:ind w:left="-5"/>
        <w:rPr>
          <w:b/>
          <w:bCs/>
          <w:sz w:val="18"/>
          <w:szCs w:val="18"/>
        </w:rPr>
      </w:pPr>
    </w:p>
    <w:p w:rsidR="790BE527" w:rsidP="790BE527" w:rsidRDefault="790BE527" w14:paraId="1B86C526" w14:textId="066F0B40">
      <w:pPr>
        <w:ind w:left="-5"/>
        <w:rPr>
          <w:b/>
          <w:bCs/>
          <w:sz w:val="18"/>
          <w:szCs w:val="18"/>
        </w:rPr>
      </w:pPr>
    </w:p>
    <w:p w:rsidR="790BE527" w:rsidP="790BE527" w:rsidRDefault="790BE527" w14:paraId="4C8D93B3" w14:textId="02FF9D4C">
      <w:pPr>
        <w:ind w:left="-5"/>
        <w:rPr>
          <w:b/>
          <w:bCs/>
          <w:sz w:val="18"/>
          <w:szCs w:val="18"/>
        </w:rPr>
      </w:pPr>
    </w:p>
    <w:p w:rsidRPr="002E49C6" w:rsidR="0018754A" w:rsidRDefault="002E49C6" w14:paraId="33F3A80D" w14:textId="77777777">
      <w:pPr>
        <w:spacing w:after="28" w:line="259" w:lineRule="auto"/>
        <w:ind w:left="0" w:firstLine="0"/>
        <w:rPr>
          <w:sz w:val="18"/>
          <w:szCs w:val="18"/>
        </w:rPr>
      </w:pPr>
      <w:r w:rsidRPr="002E49C6">
        <w:rPr>
          <w:b/>
          <w:sz w:val="18"/>
          <w:szCs w:val="18"/>
        </w:rPr>
        <w:t xml:space="preserve"> </w:t>
      </w:r>
    </w:p>
    <w:p w:rsidRPr="002E49C6" w:rsidR="0018754A" w:rsidRDefault="00E032A9" w14:paraId="33F3A80E" w14:textId="5FD69DB3">
      <w:pPr>
        <w:spacing w:after="0" w:line="259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Rev. </w:t>
      </w:r>
      <w:r w:rsidR="009176CB">
        <w:rPr>
          <w:sz w:val="18"/>
          <w:szCs w:val="18"/>
        </w:rPr>
        <w:t>6/1</w:t>
      </w:r>
      <w:r w:rsidR="00D87E2D">
        <w:rPr>
          <w:sz w:val="18"/>
          <w:szCs w:val="18"/>
        </w:rPr>
        <w:t>/202</w:t>
      </w:r>
      <w:r w:rsidR="00903A69">
        <w:rPr>
          <w:sz w:val="18"/>
          <w:szCs w:val="18"/>
        </w:rPr>
        <w:t>5</w:t>
      </w:r>
    </w:p>
    <w:sectPr w:rsidRPr="002E49C6" w:rsidR="0018754A" w:rsidSect="0076578D">
      <w:pgSz w:w="12240" w:h="15840" w:orient="portrait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54A"/>
    <w:rsid w:val="00004D72"/>
    <w:rsid w:val="00033134"/>
    <w:rsid w:val="00081B9A"/>
    <w:rsid w:val="000A58E7"/>
    <w:rsid w:val="0018754A"/>
    <w:rsid w:val="00194E28"/>
    <w:rsid w:val="0024181C"/>
    <w:rsid w:val="002832D4"/>
    <w:rsid w:val="002E49C6"/>
    <w:rsid w:val="003E1156"/>
    <w:rsid w:val="0041304A"/>
    <w:rsid w:val="00413FDB"/>
    <w:rsid w:val="00482D47"/>
    <w:rsid w:val="0049082D"/>
    <w:rsid w:val="004B2D68"/>
    <w:rsid w:val="00500B1E"/>
    <w:rsid w:val="005625B5"/>
    <w:rsid w:val="0057798A"/>
    <w:rsid w:val="00585C58"/>
    <w:rsid w:val="00586A17"/>
    <w:rsid w:val="005A0CD4"/>
    <w:rsid w:val="005C2C1F"/>
    <w:rsid w:val="006300DC"/>
    <w:rsid w:val="00632351"/>
    <w:rsid w:val="00645F6C"/>
    <w:rsid w:val="00674668"/>
    <w:rsid w:val="006948DF"/>
    <w:rsid w:val="006B6E88"/>
    <w:rsid w:val="0073339B"/>
    <w:rsid w:val="0076578D"/>
    <w:rsid w:val="007F0172"/>
    <w:rsid w:val="007F6FAD"/>
    <w:rsid w:val="008229D4"/>
    <w:rsid w:val="00881417"/>
    <w:rsid w:val="008D6379"/>
    <w:rsid w:val="00903A69"/>
    <w:rsid w:val="009176CB"/>
    <w:rsid w:val="009416E4"/>
    <w:rsid w:val="009D57B1"/>
    <w:rsid w:val="009E41CF"/>
    <w:rsid w:val="00A91B48"/>
    <w:rsid w:val="00B379BE"/>
    <w:rsid w:val="00C05BD7"/>
    <w:rsid w:val="00C24682"/>
    <w:rsid w:val="00CB0FF6"/>
    <w:rsid w:val="00CB2338"/>
    <w:rsid w:val="00CE7BCF"/>
    <w:rsid w:val="00D11BB8"/>
    <w:rsid w:val="00D151E2"/>
    <w:rsid w:val="00D87E2D"/>
    <w:rsid w:val="00DE270D"/>
    <w:rsid w:val="00DF1B40"/>
    <w:rsid w:val="00E032A9"/>
    <w:rsid w:val="00E17E16"/>
    <w:rsid w:val="00EA65F7"/>
    <w:rsid w:val="00F14694"/>
    <w:rsid w:val="00F172D7"/>
    <w:rsid w:val="00F46699"/>
    <w:rsid w:val="00F714AB"/>
    <w:rsid w:val="00FA1520"/>
    <w:rsid w:val="00FA2122"/>
    <w:rsid w:val="00FF2520"/>
    <w:rsid w:val="18A0B241"/>
    <w:rsid w:val="22C0468A"/>
    <w:rsid w:val="4611779F"/>
    <w:rsid w:val="61448F16"/>
    <w:rsid w:val="6DDFB3C9"/>
    <w:rsid w:val="790BE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3A7CE"/>
  <w15:docId w15:val="{71E994DB-43EA-46F7-8F52-43BB35BF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4" w:line="249" w:lineRule="auto"/>
      <w:ind w:left="10" w:hanging="10"/>
    </w:pPr>
    <w:rPr>
      <w:rFonts w:ascii="Arial" w:hAnsi="Arial" w:eastAsia="Arial" w:cs="Arial"/>
      <w:color w:val="000000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jp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14908A04D9E49A6A224C390939520" ma:contentTypeVersion="12" ma:contentTypeDescription="Create a new document." ma:contentTypeScope="" ma:versionID="1b5c272484cb99994e80a1f8940c9a70">
  <xsd:schema xmlns:xsd="http://www.w3.org/2001/XMLSchema" xmlns:xs="http://www.w3.org/2001/XMLSchema" xmlns:p="http://schemas.microsoft.com/office/2006/metadata/properties" xmlns:ns2="b3c01343-a770-4c42-a749-9784eb230168" xmlns:ns3="4afbb427-7328-4139-9be5-935d22236fd6" targetNamespace="http://schemas.microsoft.com/office/2006/metadata/properties" ma:root="true" ma:fieldsID="e49fb121ea93b0c144e2464d292baa30" ns2:_="" ns3:_="">
    <xsd:import namespace="b3c01343-a770-4c42-a749-9784eb230168"/>
    <xsd:import namespace="4afbb427-7328-4139-9be5-935d22236fd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01343-a770-4c42-a749-9784eb23016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0e71602-5a44-40d1-b6b9-3305a7c2c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bb427-7328-4139-9be5-935d22236fd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27b779b-e744-446e-929c-74901c1d157e}" ma:internalName="TaxCatchAll" ma:showField="CatchAllData" ma:web="4afbb427-7328-4139-9be5-935d22236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c01343-a770-4c42-a749-9784eb230168">
      <Terms xmlns="http://schemas.microsoft.com/office/infopath/2007/PartnerControls"/>
    </lcf76f155ced4ddcb4097134ff3c332f>
    <TaxCatchAll xmlns="4afbb427-7328-4139-9be5-935d22236f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FFD545-66F4-421E-9ECB-47B02871E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01343-a770-4c42-a749-9784eb230168"/>
    <ds:schemaRef ds:uri="4afbb427-7328-4139-9be5-935d22236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98D9EB-9511-4604-AB77-6565205A66D3}">
  <ds:schemaRefs>
    <ds:schemaRef ds:uri="http://schemas.microsoft.com/office/2006/metadata/properties"/>
    <ds:schemaRef ds:uri="http://schemas.microsoft.com/office/infopath/2007/PartnerControls"/>
    <ds:schemaRef ds:uri="b3c01343-a770-4c42-a749-9784eb230168"/>
    <ds:schemaRef ds:uri="4afbb427-7328-4139-9be5-935d22236fd6"/>
  </ds:schemaRefs>
</ds:datastoreItem>
</file>

<file path=customXml/itemProps3.xml><?xml version="1.0" encoding="utf-8"?>
<ds:datastoreItem xmlns:ds="http://schemas.openxmlformats.org/officeDocument/2006/customXml" ds:itemID="{156B0642-6071-46F7-83BC-098B88A880E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City of College Station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Eligibility Criteria and Lender Key Points</dc:title>
  <dc:subject/>
  <dc:creator>City User</dc:creator>
  <keywords/>
  <lastModifiedBy>Frank Myers</lastModifiedBy>
  <revision>14</revision>
  <lastPrinted>2025-05-20T19:49:00.0000000Z</lastPrinted>
  <dcterms:created xsi:type="dcterms:W3CDTF">2025-05-20T19:42:00.0000000Z</dcterms:created>
  <dcterms:modified xsi:type="dcterms:W3CDTF">2025-09-22T16:49:57.8571341Z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0x01010003B14908A04D9E49A6A224C390939520</vt:lpwstr>
  </property>
  <property fmtid="{D5CDD505-2E9C-101B-9397-08002B2CF9AE}" pid="3" name="Order">
    <vt:r8>1216200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