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83258" w:rsidRDefault="00C06341" w14:paraId="44D2DE07" w14:textId="77777777">
      <w:pPr>
        <w:pStyle w:val="Heading1"/>
        <w:rPr>
          <w:rFonts w:ascii="Arial" w:hAnsi="Arial"/>
          <w:b/>
          <w:sz w:val="18"/>
        </w:rPr>
      </w:pPr>
      <w:r>
        <w:rPr>
          <w:rFonts w:ascii="Arial" w:hAnsi="Arial"/>
          <w:b/>
          <w:noProof/>
          <w:sz w:val="18"/>
        </w:rPr>
        <mc:AlternateContent>
          <mc:Choice Requires="wps">
            <w:drawing>
              <wp:anchor distT="0" distB="0" distL="114300" distR="114300" simplePos="0" relativeHeight="251657728" behindDoc="0" locked="0" layoutInCell="0" allowOverlap="1" wp14:anchorId="1B2E7DA6" wp14:editId="07777777">
                <wp:simplePos x="0" y="0"/>
                <wp:positionH relativeFrom="column">
                  <wp:posOffset>3200400</wp:posOffset>
                </wp:positionH>
                <wp:positionV relativeFrom="paragraph">
                  <wp:posOffset>0</wp:posOffset>
                </wp:positionV>
                <wp:extent cx="3383280" cy="1447800"/>
                <wp:effectExtent l="0" t="0" r="0" b="0"/>
                <wp:wrapNone/>
                <wp:docPr id="247806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47800"/>
                        </a:xfrm>
                        <a:prstGeom prst="rect">
                          <a:avLst/>
                        </a:prstGeom>
                        <a:solidFill>
                          <a:srgbClr val="FFFFFF"/>
                        </a:solidFill>
                        <a:ln w="60325" cmpd="thinThick">
                          <a:solidFill>
                            <a:srgbClr val="000000"/>
                          </a:solidFill>
                          <a:miter lim="800000"/>
                          <a:headEnd/>
                          <a:tailEnd/>
                        </a:ln>
                      </wps:spPr>
                      <wps:txbx>
                        <w:txbxContent>
                          <w:p w:rsidRPr="00704585" w:rsidR="00497E51" w:rsidRDefault="00E9154D" w14:paraId="792C2D1A" w14:textId="77777777">
                            <w:pPr>
                              <w:pStyle w:val="Heading6"/>
                              <w:rPr>
                                <w:lang w:val="es-CL"/>
                              </w:rPr>
                            </w:pPr>
                            <w:r w:rsidRPr="00704585">
                              <w:rPr>
                                <w:lang w:val="es-CL"/>
                              </w:rPr>
                              <w:t>Ciudad de</w:t>
                            </w:r>
                            <w:r w:rsidRPr="00704585" w:rsidR="00497E51">
                              <w:rPr>
                                <w:lang w:val="es-CL"/>
                              </w:rPr>
                              <w:t xml:space="preserve"> College Station</w:t>
                            </w:r>
                          </w:p>
                          <w:p w:rsidRPr="00704585" w:rsidR="00497E51" w:rsidRDefault="00E9154D" w14:paraId="563DE5AF" w14:textId="77777777">
                            <w:pPr>
                              <w:rPr>
                                <w:rFonts w:ascii="Arial Narrow" w:hAnsi="Arial Narrow" w:cs="Arial"/>
                                <w:b w:val="0"/>
                                <w:sz w:val="24"/>
                                <w:lang w:val="es-CL"/>
                              </w:rPr>
                            </w:pPr>
                            <w:r w:rsidRPr="00704585">
                              <w:rPr>
                                <w:rFonts w:ascii="Arial Narrow" w:hAnsi="Arial Narrow" w:cs="Arial"/>
                                <w:b w:val="0"/>
                                <w:sz w:val="24"/>
                                <w:lang w:val="es-CL"/>
                              </w:rPr>
                              <w:t xml:space="preserve">Servicios </w:t>
                            </w:r>
                            <w:r w:rsidRPr="00704585" w:rsidR="00497E51">
                              <w:rPr>
                                <w:rFonts w:ascii="Arial Narrow" w:hAnsi="Arial Narrow" w:cs="Arial"/>
                                <w:b w:val="0"/>
                                <w:sz w:val="24"/>
                                <w:lang w:val="es-CL"/>
                              </w:rPr>
                              <w:t>Com</w:t>
                            </w:r>
                            <w:r w:rsidRPr="00704585">
                              <w:rPr>
                                <w:rFonts w:ascii="Arial Narrow" w:hAnsi="Arial Narrow" w:cs="Arial"/>
                                <w:b w:val="0"/>
                                <w:sz w:val="24"/>
                                <w:lang w:val="es-CL"/>
                              </w:rPr>
                              <w:t>unitarios</w:t>
                            </w:r>
                            <w:r w:rsidRPr="00704585" w:rsidR="00497E51">
                              <w:rPr>
                                <w:rFonts w:ascii="Arial Narrow" w:hAnsi="Arial Narrow" w:cs="Arial"/>
                                <w:b w:val="0"/>
                                <w:sz w:val="24"/>
                                <w:lang w:val="es-CL"/>
                              </w:rPr>
                              <w:t xml:space="preserve"> </w:t>
                            </w:r>
                          </w:p>
                          <w:p w:rsidRPr="00704585" w:rsidR="00497E51" w:rsidRDefault="000D525D" w14:paraId="0C655715" w14:textId="77777777">
                            <w:pPr>
                              <w:rPr>
                                <w:rFonts w:ascii="Arial Narrow" w:hAnsi="Arial Narrow" w:cs="Arial"/>
                                <w:b w:val="0"/>
                                <w:sz w:val="24"/>
                                <w:lang w:val="es-CL"/>
                              </w:rPr>
                            </w:pPr>
                            <w:r>
                              <w:rPr>
                                <w:rFonts w:ascii="Arial Narrow" w:hAnsi="Arial Narrow" w:cs="Arial"/>
                                <w:b w:val="0"/>
                                <w:sz w:val="24"/>
                                <w:lang w:val="es-CL"/>
                              </w:rPr>
                              <w:t>1101 Texas Ave</w:t>
                            </w:r>
                          </w:p>
                          <w:p w:rsidRPr="00704585" w:rsidR="00497E51" w:rsidRDefault="00497E51" w14:paraId="2F30211C" w14:textId="77777777">
                            <w:pPr>
                              <w:rPr>
                                <w:rFonts w:ascii="Arial Narrow" w:hAnsi="Arial Narrow" w:cs="Arial"/>
                                <w:b w:val="0"/>
                                <w:sz w:val="24"/>
                                <w:lang w:val="es-CL"/>
                              </w:rPr>
                            </w:pPr>
                            <w:r w:rsidRPr="00704585">
                              <w:rPr>
                                <w:rFonts w:ascii="Arial Narrow" w:hAnsi="Arial Narrow" w:cs="Arial"/>
                                <w:b w:val="0"/>
                                <w:sz w:val="24"/>
                                <w:lang w:val="es-CL"/>
                              </w:rPr>
                              <w:t>P O Box 9960</w:t>
                            </w:r>
                          </w:p>
                          <w:p w:rsidRPr="00704585" w:rsidR="00497E51" w:rsidRDefault="00497E51" w14:paraId="1E9AD2AC" w14:textId="77777777">
                            <w:pPr>
                              <w:rPr>
                                <w:rFonts w:ascii="Arial Narrow" w:hAnsi="Arial Narrow" w:cs="Arial"/>
                                <w:b w:val="0"/>
                                <w:sz w:val="24"/>
                                <w:lang w:val="es-CL"/>
                              </w:rPr>
                            </w:pPr>
                            <w:r w:rsidRPr="00704585">
                              <w:rPr>
                                <w:rFonts w:ascii="Arial Narrow" w:hAnsi="Arial Narrow" w:cs="Arial"/>
                                <w:b w:val="0"/>
                                <w:sz w:val="24"/>
                                <w:lang w:val="es-CL"/>
                              </w:rPr>
                              <w:t>College Station, TX 77842</w:t>
                            </w:r>
                          </w:p>
                          <w:p w:rsidRPr="002D3699" w:rsidR="00497E51" w:rsidRDefault="007F6489" w14:paraId="50CA77C3" w14:textId="35A492EC">
                            <w:pPr>
                              <w:rPr>
                                <w:rFonts w:ascii="Arial Narrow" w:hAnsi="Arial Narrow" w:cs="Arial"/>
                                <w:b w:val="0"/>
                                <w:sz w:val="24"/>
                              </w:rPr>
                            </w:pPr>
                            <w:r w:rsidRPr="00704585">
                              <w:rPr>
                                <w:rFonts w:ascii="Arial Narrow" w:hAnsi="Arial Narrow" w:cs="Arial"/>
                                <w:b w:val="0"/>
                                <w:sz w:val="24"/>
                                <w:lang w:val="es-CL"/>
                              </w:rPr>
                              <w:t>Teléfono</w:t>
                            </w:r>
                            <w:r w:rsidRPr="00704585" w:rsidR="00497E51">
                              <w:rPr>
                                <w:rFonts w:ascii="Arial Narrow" w:hAnsi="Arial Narrow" w:cs="Arial"/>
                                <w:b w:val="0"/>
                                <w:sz w:val="24"/>
                                <w:lang w:val="es-CL"/>
                              </w:rPr>
                              <w:t>: 979.764.3</w:t>
                            </w:r>
                            <w:r w:rsidR="00146DDF">
                              <w:rPr>
                                <w:rFonts w:ascii="Arial Narrow" w:hAnsi="Arial Narrow" w:cs="Arial"/>
                                <w:b w:val="0"/>
                                <w:sz w:val="24"/>
                                <w:lang w:val="es-CL"/>
                              </w:rPr>
                              <w:t>570</w:t>
                            </w:r>
                            <w:r w:rsidRPr="00704585" w:rsidR="00497E51">
                              <w:rPr>
                                <w:rFonts w:ascii="Arial Narrow" w:hAnsi="Arial Narrow" w:cs="Arial"/>
                                <w:b w:val="0"/>
                                <w:sz w:val="24"/>
                                <w:lang w:val="es-CL"/>
                              </w:rPr>
                              <w:t xml:space="preserve">  </w:t>
                            </w:r>
                            <w:r w:rsidR="00497E51">
                              <w:rPr>
                                <w:rFonts w:ascii="Arial Narrow" w:hAnsi="Arial Narrow" w:cs="Arial"/>
                                <w:b w:val="0"/>
                                <w:sz w:val="24"/>
                              </w:rPr>
                              <w:t>www.cstx.gov/housingassistance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B2E7DA6">
                <v:stroke joinstyle="miter"/>
                <v:path gradientshapeok="t" o:connecttype="rect"/>
              </v:shapetype>
              <v:shape id="Text Box 2" style="position:absolute;margin-left:252pt;margin-top:0;width:266.4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4.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">
                <v:stroke linestyle="thinThick"/>
                <v:textbox>
                  <w:txbxContent>
                    <w:p w:rsidRPr="00704585" w:rsidR="00497E51" w:rsidRDefault="00E9154D" w14:paraId="792C2D1A" w14:textId="77777777">
                      <w:pPr>
                        <w:pStyle w:val="Heading6"/>
                        <w:rPr>
                          <w:lang w:val="es-CL"/>
                        </w:rPr>
                      </w:pPr>
                      <w:r w:rsidRPr="00704585">
                        <w:rPr>
                          <w:lang w:val="es-CL"/>
                        </w:rPr>
                        <w:t>Ciudad de</w:t>
                      </w:r>
                      <w:r w:rsidRPr="00704585" w:rsidR="00497E51">
                        <w:rPr>
                          <w:lang w:val="es-CL"/>
                        </w:rPr>
                        <w:t xml:space="preserve"> College Station</w:t>
                      </w:r>
                    </w:p>
                    <w:p w:rsidRPr="00704585" w:rsidR="00497E51" w:rsidRDefault="00E9154D" w14:paraId="563DE5AF" w14:textId="77777777">
                      <w:pPr>
                        <w:rPr>
                          <w:rFonts w:ascii="Arial Narrow" w:hAnsi="Arial Narrow" w:cs="Arial"/>
                          <w:b w:val="0"/>
                          <w:sz w:val="24"/>
                          <w:lang w:val="es-CL"/>
                        </w:rPr>
                      </w:pPr>
                      <w:r w:rsidRPr="00704585">
                        <w:rPr>
                          <w:rFonts w:ascii="Arial Narrow" w:hAnsi="Arial Narrow" w:cs="Arial"/>
                          <w:b w:val="0"/>
                          <w:sz w:val="24"/>
                          <w:lang w:val="es-CL"/>
                        </w:rPr>
                        <w:t xml:space="preserve">Servicios </w:t>
                      </w:r>
                      <w:r w:rsidRPr="00704585" w:rsidR="00497E51">
                        <w:rPr>
                          <w:rFonts w:ascii="Arial Narrow" w:hAnsi="Arial Narrow" w:cs="Arial"/>
                          <w:b w:val="0"/>
                          <w:sz w:val="24"/>
                          <w:lang w:val="es-CL"/>
                        </w:rPr>
                        <w:t>Com</w:t>
                      </w:r>
                      <w:r w:rsidRPr="00704585">
                        <w:rPr>
                          <w:rFonts w:ascii="Arial Narrow" w:hAnsi="Arial Narrow" w:cs="Arial"/>
                          <w:b w:val="0"/>
                          <w:sz w:val="24"/>
                          <w:lang w:val="es-CL"/>
                        </w:rPr>
                        <w:t>unitarios</w:t>
                      </w:r>
                      <w:r w:rsidRPr="00704585" w:rsidR="00497E51">
                        <w:rPr>
                          <w:rFonts w:ascii="Arial Narrow" w:hAnsi="Arial Narrow" w:cs="Arial"/>
                          <w:b w:val="0"/>
                          <w:sz w:val="24"/>
                          <w:lang w:val="es-CL"/>
                        </w:rPr>
                        <w:t xml:space="preserve"> </w:t>
                      </w:r>
                    </w:p>
                    <w:p w:rsidRPr="00704585" w:rsidR="00497E51" w:rsidRDefault="000D525D" w14:paraId="0C655715" w14:textId="77777777">
                      <w:pPr>
                        <w:rPr>
                          <w:rFonts w:ascii="Arial Narrow" w:hAnsi="Arial Narrow" w:cs="Arial"/>
                          <w:b w:val="0"/>
                          <w:sz w:val="24"/>
                          <w:lang w:val="es-CL"/>
                        </w:rPr>
                      </w:pPr>
                      <w:r>
                        <w:rPr>
                          <w:rFonts w:ascii="Arial Narrow" w:hAnsi="Arial Narrow" w:cs="Arial"/>
                          <w:b w:val="0"/>
                          <w:sz w:val="24"/>
                          <w:lang w:val="es-CL"/>
                        </w:rPr>
                        <w:t>1101 Texas Ave</w:t>
                      </w:r>
                    </w:p>
                    <w:p w:rsidRPr="00704585" w:rsidR="00497E51" w:rsidRDefault="00497E51" w14:paraId="2F30211C" w14:textId="77777777">
                      <w:pPr>
                        <w:rPr>
                          <w:rFonts w:ascii="Arial Narrow" w:hAnsi="Arial Narrow" w:cs="Arial"/>
                          <w:b w:val="0"/>
                          <w:sz w:val="24"/>
                          <w:lang w:val="es-CL"/>
                        </w:rPr>
                      </w:pPr>
                      <w:r w:rsidRPr="00704585">
                        <w:rPr>
                          <w:rFonts w:ascii="Arial Narrow" w:hAnsi="Arial Narrow" w:cs="Arial"/>
                          <w:b w:val="0"/>
                          <w:sz w:val="24"/>
                          <w:lang w:val="es-CL"/>
                        </w:rPr>
                        <w:t>P O Box 9960</w:t>
                      </w:r>
                    </w:p>
                    <w:p w:rsidRPr="00704585" w:rsidR="00497E51" w:rsidRDefault="00497E51" w14:paraId="1E9AD2AC" w14:textId="77777777">
                      <w:pPr>
                        <w:rPr>
                          <w:rFonts w:ascii="Arial Narrow" w:hAnsi="Arial Narrow" w:cs="Arial"/>
                          <w:b w:val="0"/>
                          <w:sz w:val="24"/>
                          <w:lang w:val="es-CL"/>
                        </w:rPr>
                      </w:pPr>
                      <w:r w:rsidRPr="00704585">
                        <w:rPr>
                          <w:rFonts w:ascii="Arial Narrow" w:hAnsi="Arial Narrow" w:cs="Arial"/>
                          <w:b w:val="0"/>
                          <w:sz w:val="24"/>
                          <w:lang w:val="es-CL"/>
                        </w:rPr>
                        <w:t>College Station, TX 77842</w:t>
                      </w:r>
                    </w:p>
                    <w:p w:rsidRPr="002D3699" w:rsidR="00497E51" w:rsidRDefault="007F6489" w14:paraId="50CA77C3" w14:textId="35A492EC">
                      <w:pPr>
                        <w:rPr>
                          <w:rFonts w:ascii="Arial Narrow" w:hAnsi="Arial Narrow" w:cs="Arial"/>
                          <w:b w:val="0"/>
                          <w:sz w:val="24"/>
                        </w:rPr>
                      </w:pPr>
                      <w:r w:rsidRPr="00704585">
                        <w:rPr>
                          <w:rFonts w:ascii="Arial Narrow" w:hAnsi="Arial Narrow" w:cs="Arial"/>
                          <w:b w:val="0"/>
                          <w:sz w:val="24"/>
                          <w:lang w:val="es-CL"/>
                        </w:rPr>
                        <w:t>Teléfono</w:t>
                      </w:r>
                      <w:r w:rsidRPr="00704585" w:rsidR="00497E51">
                        <w:rPr>
                          <w:rFonts w:ascii="Arial Narrow" w:hAnsi="Arial Narrow" w:cs="Arial"/>
                          <w:b w:val="0"/>
                          <w:sz w:val="24"/>
                          <w:lang w:val="es-CL"/>
                        </w:rPr>
                        <w:t>: 979.764.3</w:t>
                      </w:r>
                      <w:r w:rsidR="00146DDF">
                        <w:rPr>
                          <w:rFonts w:ascii="Arial Narrow" w:hAnsi="Arial Narrow" w:cs="Arial"/>
                          <w:b w:val="0"/>
                          <w:sz w:val="24"/>
                          <w:lang w:val="es-CL"/>
                        </w:rPr>
                        <w:t>570</w:t>
                      </w:r>
                      <w:r w:rsidRPr="00704585" w:rsidR="00497E51">
                        <w:rPr>
                          <w:rFonts w:ascii="Arial Narrow" w:hAnsi="Arial Narrow" w:cs="Arial"/>
                          <w:b w:val="0"/>
                          <w:sz w:val="24"/>
                          <w:lang w:val="es-CL"/>
                        </w:rPr>
                        <w:t xml:space="preserve">  </w:t>
                      </w:r>
                      <w:r w:rsidR="00497E51">
                        <w:rPr>
                          <w:rFonts w:ascii="Arial Narrow" w:hAnsi="Arial Narrow" w:cs="Arial"/>
                          <w:b w:val="0"/>
                          <w:sz w:val="24"/>
                        </w:rPr>
                        <w:t>www.cstx.gov/housingassistance</w:t>
                      </w:r>
                    </w:p>
                  </w:txbxContent>
                </v:textbox>
              </v:shape>
            </w:pict>
          </mc:Fallback>
        </mc:AlternateContent>
      </w:r>
      <w:r>
        <w:rPr>
          <w:rFonts w:ascii="Arial" w:hAnsi="Arial"/>
          <w:b/>
          <w:noProof/>
          <w:sz w:val="18"/>
        </w:rPr>
        <w:drawing>
          <wp:inline distT="0" distB="0" distL="0" distR="0" wp14:anchorId="1F036C40" wp14:editId="05A53357">
            <wp:extent cx="21907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066800"/>
                    </a:xfrm>
                    <a:prstGeom prst="rect">
                      <a:avLst/>
                    </a:prstGeom>
                    <a:noFill/>
                    <a:ln>
                      <a:noFill/>
                    </a:ln>
                  </pic:spPr>
                </pic:pic>
              </a:graphicData>
            </a:graphic>
          </wp:inline>
        </w:drawing>
      </w:r>
    </w:p>
    <w:p w:rsidR="00E83258" w:rsidRDefault="00E83258" w14:paraId="672A6659" w14:textId="77777777"/>
    <w:p w:rsidRPr="0055275A" w:rsidR="001A002C" w:rsidRDefault="0055275A" w14:paraId="65C505FB" w14:textId="77777777">
      <w:pPr>
        <w:pStyle w:val="Heading1"/>
        <w:rPr>
          <w:rFonts w:ascii="Arial" w:hAnsi="Arial"/>
          <w:b/>
          <w:sz w:val="22"/>
          <w:szCs w:val="22"/>
          <w:lang w:val="es-CL"/>
        </w:rPr>
      </w:pPr>
      <w:r w:rsidRPr="0055275A">
        <w:rPr>
          <w:rFonts w:ascii="Arial" w:hAnsi="Arial"/>
          <w:b/>
          <w:sz w:val="22"/>
          <w:szCs w:val="22"/>
          <w:lang w:val="es-CL"/>
        </w:rPr>
        <w:t>ASISTENCIA DE PAGO INICIAL</w:t>
      </w:r>
    </w:p>
    <w:p w:rsidRPr="0055275A" w:rsidR="00E83258" w:rsidRDefault="0055275A" w14:paraId="37D7A5CE" w14:textId="77777777">
      <w:pPr>
        <w:pStyle w:val="Heading1"/>
        <w:rPr>
          <w:rFonts w:ascii="Arial" w:hAnsi="Arial"/>
          <w:b/>
          <w:sz w:val="22"/>
          <w:szCs w:val="22"/>
          <w:lang w:val="es-CL"/>
        </w:rPr>
      </w:pPr>
      <w:r>
        <w:rPr>
          <w:rFonts w:ascii="Arial" w:hAnsi="Arial"/>
          <w:b/>
          <w:sz w:val="22"/>
          <w:szCs w:val="22"/>
          <w:lang w:val="es-CL"/>
        </w:rPr>
        <w:t>RESUMEN DE INFORMACION DE PROGRAMA</w:t>
      </w:r>
    </w:p>
    <w:p w:rsidRPr="00ED0689" w:rsidR="006B1087" w:rsidRDefault="006B1087" w14:paraId="0A37501D" w14:textId="77777777">
      <w:pPr>
        <w:rPr>
          <w:rFonts w:ascii="Arial" w:hAnsi="Arial"/>
          <w:sz w:val="10"/>
          <w:szCs w:val="16"/>
          <w:lang w:val="es-CL"/>
        </w:rPr>
      </w:pPr>
    </w:p>
    <w:p w:rsidRPr="0055275A" w:rsidR="00E83258" w:rsidRDefault="0055275A" w14:paraId="31CA360A" w14:textId="77777777">
      <w:pPr>
        <w:rPr>
          <w:rFonts w:ascii="Arial" w:hAnsi="Arial"/>
          <w:lang w:val="es-CL"/>
        </w:rPr>
      </w:pPr>
      <w:r w:rsidRPr="0055275A">
        <w:rPr>
          <w:rFonts w:ascii="Arial" w:hAnsi="Arial"/>
          <w:lang w:val="es-CL"/>
        </w:rPr>
        <w:t>Los ingresos familiares del solicitante no podrán exceder del 80% del ingreso medio del área</w:t>
      </w:r>
      <w:r w:rsidRPr="0055275A" w:rsidR="00E83258">
        <w:rPr>
          <w:rFonts w:ascii="Arial" w:hAnsi="Arial"/>
          <w:lang w:val="es-C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68"/>
        <w:gridCol w:w="952"/>
        <w:gridCol w:w="1160"/>
        <w:gridCol w:w="1160"/>
        <w:gridCol w:w="1160"/>
        <w:gridCol w:w="1160"/>
        <w:gridCol w:w="1160"/>
        <w:gridCol w:w="1160"/>
        <w:gridCol w:w="1160"/>
      </w:tblGrid>
      <w:tr w:rsidRPr="001A002C" w:rsidR="00E83258" w:rsidTr="56F95A80" w14:paraId="17B2A166" w14:textId="77777777">
        <w:tc>
          <w:tcPr>
            <w:tcW w:w="1368" w:type="dxa"/>
          </w:tcPr>
          <w:p w:rsidRPr="00ED0689" w:rsidR="00E83258" w:rsidP="0055275A" w:rsidRDefault="0055275A" w14:paraId="1E05DF78" w14:textId="77777777">
            <w:pPr>
              <w:jc w:val="center"/>
              <w:rPr>
                <w:rFonts w:ascii="Arial" w:hAnsi="Arial"/>
                <w:lang w:val="es-CL"/>
              </w:rPr>
            </w:pPr>
            <w:r w:rsidRPr="00ED0689">
              <w:rPr>
                <w:rFonts w:ascii="Arial" w:hAnsi="Arial"/>
                <w:lang w:val="es-CL"/>
              </w:rPr>
              <w:t># en Hogar</w:t>
            </w:r>
            <w:r w:rsidRPr="00ED0689" w:rsidR="00E83258">
              <w:rPr>
                <w:rFonts w:ascii="Arial" w:hAnsi="Arial"/>
                <w:lang w:val="es-CL"/>
              </w:rPr>
              <w:t xml:space="preserve"> </w:t>
            </w:r>
          </w:p>
        </w:tc>
        <w:tc>
          <w:tcPr>
            <w:tcW w:w="952" w:type="dxa"/>
          </w:tcPr>
          <w:p w:rsidRPr="001A002C" w:rsidR="00E83258" w:rsidRDefault="00E83258" w14:paraId="649841BE" w14:textId="77777777">
            <w:pPr>
              <w:jc w:val="center"/>
              <w:rPr>
                <w:rFonts w:ascii="Arial" w:hAnsi="Arial"/>
              </w:rPr>
            </w:pPr>
            <w:r w:rsidRPr="001A002C">
              <w:rPr>
                <w:rFonts w:ascii="Arial" w:hAnsi="Arial"/>
              </w:rPr>
              <w:t>1</w:t>
            </w:r>
          </w:p>
        </w:tc>
        <w:tc>
          <w:tcPr>
            <w:tcW w:w="1160" w:type="dxa"/>
          </w:tcPr>
          <w:p w:rsidRPr="001A002C" w:rsidR="00E83258" w:rsidRDefault="00E83258" w14:paraId="18F999B5" w14:textId="77777777">
            <w:pPr>
              <w:jc w:val="center"/>
              <w:rPr>
                <w:rFonts w:ascii="Arial" w:hAnsi="Arial"/>
              </w:rPr>
            </w:pPr>
            <w:r w:rsidRPr="001A002C">
              <w:rPr>
                <w:rFonts w:ascii="Arial" w:hAnsi="Arial"/>
              </w:rPr>
              <w:t>2</w:t>
            </w:r>
          </w:p>
        </w:tc>
        <w:tc>
          <w:tcPr>
            <w:tcW w:w="1160" w:type="dxa"/>
          </w:tcPr>
          <w:p w:rsidRPr="001A002C" w:rsidR="00E83258" w:rsidRDefault="00E83258" w14:paraId="5FCD5EC4" w14:textId="77777777">
            <w:pPr>
              <w:jc w:val="center"/>
              <w:rPr>
                <w:rFonts w:ascii="Arial" w:hAnsi="Arial"/>
              </w:rPr>
            </w:pPr>
            <w:r w:rsidRPr="001A002C">
              <w:rPr>
                <w:rFonts w:ascii="Arial" w:hAnsi="Arial"/>
              </w:rPr>
              <w:t>3</w:t>
            </w:r>
          </w:p>
        </w:tc>
        <w:tc>
          <w:tcPr>
            <w:tcW w:w="1160" w:type="dxa"/>
          </w:tcPr>
          <w:p w:rsidRPr="001A002C" w:rsidR="00E83258" w:rsidRDefault="00E83258" w14:paraId="2598DEE6" w14:textId="77777777">
            <w:pPr>
              <w:jc w:val="center"/>
              <w:rPr>
                <w:rFonts w:ascii="Arial" w:hAnsi="Arial"/>
              </w:rPr>
            </w:pPr>
            <w:r w:rsidRPr="001A002C">
              <w:rPr>
                <w:rFonts w:ascii="Arial" w:hAnsi="Arial"/>
              </w:rPr>
              <w:t>4</w:t>
            </w:r>
          </w:p>
        </w:tc>
        <w:tc>
          <w:tcPr>
            <w:tcW w:w="1160" w:type="dxa"/>
          </w:tcPr>
          <w:p w:rsidRPr="001A002C" w:rsidR="00E83258" w:rsidRDefault="00E83258" w14:paraId="78941E47" w14:textId="77777777">
            <w:pPr>
              <w:jc w:val="center"/>
              <w:rPr>
                <w:rFonts w:ascii="Arial" w:hAnsi="Arial"/>
              </w:rPr>
            </w:pPr>
            <w:r w:rsidRPr="001A002C">
              <w:rPr>
                <w:rFonts w:ascii="Arial" w:hAnsi="Arial"/>
              </w:rPr>
              <w:t>5</w:t>
            </w:r>
          </w:p>
        </w:tc>
        <w:tc>
          <w:tcPr>
            <w:tcW w:w="1160" w:type="dxa"/>
          </w:tcPr>
          <w:p w:rsidRPr="001A002C" w:rsidR="00E83258" w:rsidRDefault="00E83258" w14:paraId="29B4EA11" w14:textId="77777777">
            <w:pPr>
              <w:jc w:val="center"/>
              <w:rPr>
                <w:rFonts w:ascii="Arial" w:hAnsi="Arial"/>
              </w:rPr>
            </w:pPr>
            <w:r w:rsidRPr="001A002C">
              <w:rPr>
                <w:rFonts w:ascii="Arial" w:hAnsi="Arial"/>
              </w:rPr>
              <w:t>6</w:t>
            </w:r>
          </w:p>
        </w:tc>
        <w:tc>
          <w:tcPr>
            <w:tcW w:w="1160" w:type="dxa"/>
          </w:tcPr>
          <w:p w:rsidRPr="001A002C" w:rsidR="00E83258" w:rsidRDefault="00E83258" w14:paraId="75697EEC" w14:textId="77777777">
            <w:pPr>
              <w:jc w:val="center"/>
              <w:rPr>
                <w:rFonts w:ascii="Arial" w:hAnsi="Arial"/>
              </w:rPr>
            </w:pPr>
            <w:r w:rsidRPr="001A002C">
              <w:rPr>
                <w:rFonts w:ascii="Arial" w:hAnsi="Arial"/>
              </w:rPr>
              <w:t>7</w:t>
            </w:r>
          </w:p>
        </w:tc>
        <w:tc>
          <w:tcPr>
            <w:tcW w:w="1160" w:type="dxa"/>
          </w:tcPr>
          <w:p w:rsidRPr="001A002C" w:rsidR="00E83258" w:rsidRDefault="00E83258" w14:paraId="44B0A208" w14:textId="77777777">
            <w:pPr>
              <w:jc w:val="center"/>
              <w:rPr>
                <w:rFonts w:ascii="Arial" w:hAnsi="Arial"/>
              </w:rPr>
            </w:pPr>
            <w:r w:rsidRPr="001A002C">
              <w:rPr>
                <w:rFonts w:ascii="Arial" w:hAnsi="Arial"/>
              </w:rPr>
              <w:t>8</w:t>
            </w:r>
          </w:p>
        </w:tc>
      </w:tr>
      <w:tr w:rsidRPr="001A002C" w:rsidR="004A69F8" w:rsidTr="56F95A80" w14:paraId="47DDBCDF" w14:textId="77777777">
        <w:trPr>
          <w:trHeight w:val="630"/>
        </w:trPr>
        <w:tc>
          <w:tcPr>
            <w:tcW w:w="1368" w:type="dxa"/>
          </w:tcPr>
          <w:p w:rsidRPr="00ED0689" w:rsidR="004A69F8" w:rsidP="004A69F8" w:rsidRDefault="004A69F8" w14:paraId="66BE327A" w14:textId="77777777">
            <w:pPr>
              <w:jc w:val="center"/>
              <w:rPr>
                <w:rFonts w:ascii="Arial" w:hAnsi="Arial"/>
                <w:lang w:val="es-CL"/>
              </w:rPr>
            </w:pPr>
            <w:r w:rsidRPr="00ED0689">
              <w:rPr>
                <w:rFonts w:ascii="Arial" w:hAnsi="Arial"/>
                <w:lang w:val="es-CL"/>
              </w:rPr>
              <w:t xml:space="preserve">Ingresos Máximos </w:t>
            </w:r>
          </w:p>
        </w:tc>
        <w:tc>
          <w:tcPr>
            <w:tcW w:w="952" w:type="dxa"/>
            <w:vAlign w:val="center"/>
          </w:tcPr>
          <w:p w:rsidRPr="004A69F8" w:rsidR="004A69F8" w:rsidP="6F92A658" w:rsidRDefault="004A69F8" w14:paraId="53534AB5" w14:textId="7257300D">
            <w:pPr>
              <w:jc w:val="center"/>
              <w:rPr>
                <w:rFonts w:ascii="Arial" w:hAnsi="Arial"/>
                <w:b w:val="0"/>
                <w:sz w:val="22"/>
                <w:szCs w:val="22"/>
              </w:rPr>
            </w:pPr>
            <w:r w:rsidRPr="6F92A658">
              <w:rPr>
                <w:b w:val="0"/>
                <w:sz w:val="22"/>
                <w:szCs w:val="22"/>
              </w:rPr>
              <w:t>$49,</w:t>
            </w:r>
            <w:r w:rsidR="003B2F3D">
              <w:rPr>
                <w:b w:val="0"/>
                <w:sz w:val="22"/>
                <w:szCs w:val="22"/>
              </w:rPr>
              <w:t>6</w:t>
            </w:r>
            <w:r w:rsidRPr="6F92A658">
              <w:rPr>
                <w:b w:val="0"/>
                <w:sz w:val="22"/>
                <w:szCs w:val="22"/>
              </w:rPr>
              <w:t>00</w:t>
            </w:r>
          </w:p>
        </w:tc>
        <w:tc>
          <w:tcPr>
            <w:tcW w:w="1160" w:type="dxa"/>
            <w:vAlign w:val="center"/>
          </w:tcPr>
          <w:p w:rsidRPr="004A69F8" w:rsidR="004A69F8" w:rsidP="20A4DA95" w:rsidRDefault="231C3664" w14:paraId="046F54B7" w14:textId="3CEB6CCC">
            <w:pPr>
              <w:jc w:val="center"/>
              <w:rPr>
                <w:rFonts w:ascii="Arial" w:hAnsi="Arial"/>
                <w:b w:val="0"/>
                <w:sz w:val="22"/>
                <w:szCs w:val="22"/>
              </w:rPr>
            </w:pPr>
            <w:r w:rsidRPr="6F92A658">
              <w:rPr>
                <w:b w:val="0"/>
                <w:sz w:val="22"/>
                <w:szCs w:val="22"/>
              </w:rPr>
              <w:t>5</w:t>
            </w:r>
            <w:r w:rsidRPr="6F92A658" w:rsidR="004A69F8">
              <w:rPr>
                <w:b w:val="0"/>
                <w:sz w:val="22"/>
                <w:szCs w:val="22"/>
              </w:rPr>
              <w:t>6,</w:t>
            </w:r>
            <w:r w:rsidR="00DA0A98">
              <w:rPr>
                <w:b w:val="0"/>
                <w:sz w:val="22"/>
                <w:szCs w:val="22"/>
              </w:rPr>
              <w:t>6</w:t>
            </w:r>
            <w:r w:rsidRPr="6F92A658" w:rsidR="004A69F8">
              <w:rPr>
                <w:b w:val="0"/>
                <w:sz w:val="22"/>
                <w:szCs w:val="22"/>
              </w:rPr>
              <w:t xml:space="preserve">50 </w:t>
            </w:r>
          </w:p>
        </w:tc>
        <w:tc>
          <w:tcPr>
            <w:tcW w:w="1160" w:type="dxa"/>
            <w:vAlign w:val="center"/>
          </w:tcPr>
          <w:p w:rsidRPr="004A69F8" w:rsidR="004A69F8" w:rsidP="004A69F8" w:rsidRDefault="004A69F8" w14:paraId="11331587" w14:textId="24EE159F">
            <w:pPr>
              <w:jc w:val="center"/>
              <w:rPr>
                <w:rFonts w:ascii="Arial" w:hAnsi="Arial"/>
                <w:b w:val="0"/>
                <w:bCs/>
                <w:sz w:val="22"/>
                <w:szCs w:val="22"/>
              </w:rPr>
            </w:pPr>
            <w:r w:rsidRPr="004A69F8">
              <w:rPr>
                <w:b w:val="0"/>
                <w:bCs/>
                <w:sz w:val="22"/>
                <w:szCs w:val="22"/>
              </w:rPr>
              <w:t>$63,</w:t>
            </w:r>
            <w:r w:rsidR="00DA0A98">
              <w:rPr>
                <w:b w:val="0"/>
                <w:bCs/>
                <w:sz w:val="22"/>
                <w:szCs w:val="22"/>
              </w:rPr>
              <w:t>7</w:t>
            </w:r>
            <w:r w:rsidRPr="004A69F8">
              <w:rPr>
                <w:b w:val="0"/>
                <w:bCs/>
                <w:sz w:val="22"/>
                <w:szCs w:val="22"/>
              </w:rPr>
              <w:t>50</w:t>
            </w:r>
          </w:p>
        </w:tc>
        <w:tc>
          <w:tcPr>
            <w:tcW w:w="1160" w:type="dxa"/>
            <w:vAlign w:val="center"/>
          </w:tcPr>
          <w:p w:rsidRPr="004A69F8" w:rsidR="004A69F8" w:rsidP="004A69F8" w:rsidRDefault="004A69F8" w14:paraId="785CC943" w14:textId="563E5684">
            <w:pPr>
              <w:jc w:val="center"/>
              <w:rPr>
                <w:rFonts w:ascii="Arial" w:hAnsi="Arial"/>
                <w:b w:val="0"/>
                <w:bCs/>
                <w:sz w:val="22"/>
                <w:szCs w:val="22"/>
              </w:rPr>
            </w:pPr>
            <w:r w:rsidRPr="004A69F8">
              <w:rPr>
                <w:b w:val="0"/>
                <w:bCs/>
                <w:sz w:val="22"/>
                <w:szCs w:val="22"/>
              </w:rPr>
              <w:t>$70,</w:t>
            </w:r>
            <w:r w:rsidR="00DA0A98">
              <w:rPr>
                <w:b w:val="0"/>
                <w:bCs/>
                <w:sz w:val="22"/>
                <w:szCs w:val="22"/>
              </w:rPr>
              <w:t>8</w:t>
            </w:r>
            <w:r w:rsidRPr="004A69F8">
              <w:rPr>
                <w:b w:val="0"/>
                <w:bCs/>
                <w:sz w:val="22"/>
                <w:szCs w:val="22"/>
              </w:rPr>
              <w:t xml:space="preserve">00 </w:t>
            </w:r>
          </w:p>
        </w:tc>
        <w:tc>
          <w:tcPr>
            <w:tcW w:w="1160" w:type="dxa"/>
            <w:vAlign w:val="center"/>
          </w:tcPr>
          <w:p w:rsidRPr="004A69F8" w:rsidR="004A69F8" w:rsidP="004A69F8" w:rsidRDefault="004A69F8" w14:paraId="614216BE" w14:textId="630DCBAA">
            <w:pPr>
              <w:jc w:val="center"/>
              <w:rPr>
                <w:rFonts w:ascii="Arial" w:hAnsi="Arial"/>
                <w:b w:val="0"/>
                <w:bCs/>
                <w:sz w:val="22"/>
                <w:szCs w:val="22"/>
              </w:rPr>
            </w:pPr>
            <w:r w:rsidRPr="004A69F8">
              <w:rPr>
                <w:b w:val="0"/>
                <w:bCs/>
                <w:sz w:val="22"/>
                <w:szCs w:val="22"/>
              </w:rPr>
              <w:t>$76,</w:t>
            </w:r>
            <w:r w:rsidR="00D43865">
              <w:rPr>
                <w:b w:val="0"/>
                <w:bCs/>
                <w:sz w:val="22"/>
                <w:szCs w:val="22"/>
              </w:rPr>
              <w:t>50</w:t>
            </w:r>
            <w:r w:rsidRPr="004A69F8">
              <w:rPr>
                <w:b w:val="0"/>
                <w:bCs/>
                <w:sz w:val="22"/>
                <w:szCs w:val="22"/>
              </w:rPr>
              <w:t xml:space="preserve">0 </w:t>
            </w:r>
          </w:p>
        </w:tc>
        <w:tc>
          <w:tcPr>
            <w:tcW w:w="1160" w:type="dxa"/>
            <w:vAlign w:val="center"/>
          </w:tcPr>
          <w:p w:rsidRPr="004A69F8" w:rsidR="004A69F8" w:rsidP="004A69F8" w:rsidRDefault="004A69F8" w14:paraId="740277B8" w14:textId="129C632E">
            <w:pPr>
              <w:jc w:val="center"/>
              <w:rPr>
                <w:rFonts w:ascii="Arial" w:hAnsi="Arial"/>
                <w:b w:val="0"/>
                <w:bCs/>
                <w:sz w:val="22"/>
                <w:szCs w:val="22"/>
              </w:rPr>
            </w:pPr>
            <w:r w:rsidRPr="004A69F8">
              <w:rPr>
                <w:b w:val="0"/>
                <w:bCs/>
                <w:sz w:val="22"/>
                <w:szCs w:val="22"/>
              </w:rPr>
              <w:t>$82,</w:t>
            </w:r>
            <w:r w:rsidR="00D43865">
              <w:rPr>
                <w:b w:val="0"/>
                <w:bCs/>
                <w:sz w:val="22"/>
                <w:szCs w:val="22"/>
              </w:rPr>
              <w:t>1</w:t>
            </w:r>
            <w:r w:rsidRPr="004A69F8">
              <w:rPr>
                <w:b w:val="0"/>
                <w:bCs/>
                <w:sz w:val="22"/>
                <w:szCs w:val="22"/>
              </w:rPr>
              <w:t>50</w:t>
            </w:r>
          </w:p>
        </w:tc>
        <w:tc>
          <w:tcPr>
            <w:tcW w:w="1160" w:type="dxa"/>
            <w:vAlign w:val="center"/>
          </w:tcPr>
          <w:p w:rsidRPr="004A69F8" w:rsidR="004A69F8" w:rsidP="004A69F8" w:rsidRDefault="004A69F8" w14:paraId="030826DC" w14:textId="4849DA1E">
            <w:pPr>
              <w:jc w:val="center"/>
              <w:rPr>
                <w:rFonts w:ascii="Arial" w:hAnsi="Arial"/>
                <w:b w:val="0"/>
                <w:bCs/>
                <w:sz w:val="22"/>
                <w:szCs w:val="22"/>
              </w:rPr>
            </w:pPr>
            <w:r w:rsidRPr="004A69F8">
              <w:rPr>
                <w:b w:val="0"/>
                <w:bCs/>
                <w:sz w:val="22"/>
                <w:szCs w:val="22"/>
              </w:rPr>
              <w:t>$87,</w:t>
            </w:r>
            <w:r w:rsidR="00D43865">
              <w:rPr>
                <w:b w:val="0"/>
                <w:bCs/>
                <w:sz w:val="22"/>
                <w:szCs w:val="22"/>
              </w:rPr>
              <w:t>8</w:t>
            </w:r>
            <w:r w:rsidRPr="004A69F8">
              <w:rPr>
                <w:b w:val="0"/>
                <w:bCs/>
                <w:sz w:val="22"/>
                <w:szCs w:val="22"/>
              </w:rPr>
              <w:t xml:space="preserve">00 </w:t>
            </w:r>
          </w:p>
        </w:tc>
        <w:tc>
          <w:tcPr>
            <w:tcW w:w="1160" w:type="dxa"/>
            <w:vAlign w:val="center"/>
          </w:tcPr>
          <w:p w:rsidRPr="004A69F8" w:rsidR="004A69F8" w:rsidP="004A69F8" w:rsidRDefault="004A69F8" w14:paraId="1103D97E" w14:textId="7314D489">
            <w:pPr>
              <w:jc w:val="center"/>
              <w:rPr>
                <w:rFonts w:ascii="Arial" w:hAnsi="Arial"/>
                <w:b w:val="0"/>
                <w:bCs/>
                <w:sz w:val="22"/>
                <w:szCs w:val="22"/>
              </w:rPr>
            </w:pPr>
            <w:r w:rsidRPr="004A69F8">
              <w:rPr>
                <w:b w:val="0"/>
                <w:bCs/>
                <w:sz w:val="22"/>
                <w:szCs w:val="22"/>
              </w:rPr>
              <w:t>$93,</w:t>
            </w:r>
            <w:r w:rsidR="002D60AD">
              <w:rPr>
                <w:b w:val="0"/>
                <w:bCs/>
                <w:sz w:val="22"/>
                <w:szCs w:val="22"/>
              </w:rPr>
              <w:t>50</w:t>
            </w:r>
            <w:r w:rsidRPr="004A69F8">
              <w:rPr>
                <w:b w:val="0"/>
                <w:bCs/>
                <w:sz w:val="22"/>
                <w:szCs w:val="22"/>
              </w:rPr>
              <w:t xml:space="preserve">0 </w:t>
            </w:r>
          </w:p>
        </w:tc>
      </w:tr>
    </w:tbl>
    <w:p w:rsidRPr="00ED0689" w:rsidR="00E83258" w:rsidRDefault="00E83258" w14:paraId="5DAB6C7B" w14:textId="77777777">
      <w:pPr>
        <w:rPr>
          <w:rFonts w:ascii="Arial" w:hAnsi="Arial"/>
          <w:sz w:val="10"/>
          <w:szCs w:val="18"/>
          <w:lang w:val="es-CL"/>
        </w:rPr>
      </w:pPr>
    </w:p>
    <w:p w:rsidRPr="00253367" w:rsidR="006B1087" w:rsidRDefault="0055275A" w14:paraId="48C9F537" w14:textId="77777777">
      <w:pPr>
        <w:rPr>
          <w:rFonts w:ascii="Arial" w:hAnsi="Arial"/>
          <w:b w:val="0"/>
          <w:sz w:val="17"/>
          <w:szCs w:val="17"/>
          <w:lang w:val="es-CL"/>
        </w:rPr>
      </w:pPr>
      <w:r w:rsidRPr="00253367">
        <w:rPr>
          <w:rFonts w:ascii="Arial" w:hAnsi="Arial"/>
          <w:sz w:val="17"/>
          <w:szCs w:val="17"/>
          <w:lang w:val="es-CL"/>
        </w:rPr>
        <w:t>Costo de Aplicación</w:t>
      </w:r>
      <w:r w:rsidRPr="00253367" w:rsidR="006B1087">
        <w:rPr>
          <w:rFonts w:ascii="Arial" w:hAnsi="Arial"/>
          <w:b w:val="0"/>
          <w:sz w:val="17"/>
          <w:szCs w:val="17"/>
          <w:lang w:val="es-CL"/>
        </w:rPr>
        <w:t xml:space="preserve">: </w:t>
      </w:r>
      <w:r w:rsidRPr="00253367">
        <w:rPr>
          <w:rFonts w:ascii="Arial" w:hAnsi="Arial"/>
          <w:b w:val="0"/>
          <w:sz w:val="17"/>
          <w:szCs w:val="17"/>
          <w:lang w:val="es-CL"/>
        </w:rPr>
        <w:t xml:space="preserve">Los solicitantes </w:t>
      </w:r>
      <w:r w:rsidRPr="00253367" w:rsidR="00ED0689">
        <w:rPr>
          <w:rFonts w:ascii="Arial" w:hAnsi="Arial"/>
          <w:b w:val="0"/>
          <w:sz w:val="17"/>
          <w:szCs w:val="17"/>
          <w:lang w:val="es-CL"/>
        </w:rPr>
        <w:t>tienen que</w:t>
      </w:r>
      <w:r w:rsidRPr="00253367">
        <w:rPr>
          <w:rFonts w:ascii="Arial" w:hAnsi="Arial"/>
          <w:b w:val="0"/>
          <w:sz w:val="17"/>
          <w:szCs w:val="17"/>
          <w:lang w:val="es-CL"/>
        </w:rPr>
        <w:t xml:space="preserve"> pagar un costo de </w:t>
      </w:r>
      <w:r w:rsidRPr="00253367" w:rsidR="00ED0689">
        <w:rPr>
          <w:rFonts w:ascii="Arial" w:hAnsi="Arial"/>
          <w:b w:val="0"/>
          <w:sz w:val="17"/>
          <w:szCs w:val="17"/>
          <w:lang w:val="es-CL"/>
        </w:rPr>
        <w:t>aplicación</w:t>
      </w:r>
      <w:r w:rsidRPr="00253367">
        <w:rPr>
          <w:rFonts w:ascii="Arial" w:hAnsi="Arial"/>
          <w:b w:val="0"/>
          <w:sz w:val="17"/>
          <w:szCs w:val="17"/>
          <w:lang w:val="es-CL"/>
        </w:rPr>
        <w:t xml:space="preserve"> de $</w:t>
      </w:r>
      <w:r w:rsidR="00F23EBB">
        <w:rPr>
          <w:rFonts w:ascii="Arial" w:hAnsi="Arial"/>
          <w:b w:val="0"/>
          <w:sz w:val="17"/>
          <w:szCs w:val="17"/>
          <w:lang w:val="es-CL"/>
        </w:rPr>
        <w:t>30</w:t>
      </w:r>
      <w:r w:rsidRPr="00253367">
        <w:rPr>
          <w:rFonts w:ascii="Arial" w:hAnsi="Arial"/>
          <w:b w:val="0"/>
          <w:sz w:val="17"/>
          <w:szCs w:val="17"/>
          <w:lang w:val="es-CL"/>
        </w:rPr>
        <w:t xml:space="preserve"> </w:t>
      </w:r>
      <w:r w:rsidRPr="00253367" w:rsidR="007F6489">
        <w:rPr>
          <w:rFonts w:ascii="Arial" w:hAnsi="Arial"/>
          <w:b w:val="0"/>
          <w:sz w:val="17"/>
          <w:szCs w:val="17"/>
          <w:lang w:val="es-CL"/>
        </w:rPr>
        <w:t>al</w:t>
      </w:r>
      <w:r w:rsidRPr="00253367">
        <w:rPr>
          <w:rFonts w:ascii="Arial" w:hAnsi="Arial"/>
          <w:b w:val="0"/>
          <w:sz w:val="17"/>
          <w:szCs w:val="17"/>
          <w:lang w:val="es-CL"/>
        </w:rPr>
        <w:t xml:space="preserve"> momento de la aplicación o pre-aplicación.</w:t>
      </w:r>
    </w:p>
    <w:p w:rsidRPr="00253367" w:rsidR="006B1087" w:rsidRDefault="006B1087" w14:paraId="02EB378F" w14:textId="77777777">
      <w:pPr>
        <w:rPr>
          <w:rFonts w:ascii="Arial" w:hAnsi="Arial"/>
          <w:sz w:val="17"/>
          <w:szCs w:val="17"/>
          <w:lang w:val="es-CL"/>
        </w:rPr>
      </w:pPr>
    </w:p>
    <w:p w:rsidRPr="00253367" w:rsidR="0055275A" w:rsidRDefault="0055275A" w14:paraId="2EA1A9ED" w14:textId="38F1901D">
      <w:pPr>
        <w:rPr>
          <w:rFonts w:ascii="Arial" w:hAnsi="Arial"/>
          <w:b w:val="0"/>
          <w:bCs w:val="0"/>
          <w:sz w:val="17"/>
          <w:szCs w:val="17"/>
          <w:lang w:val="es-CL"/>
        </w:rPr>
      </w:pPr>
      <w:r w:rsidRPr="0C8BC006" w:rsidR="0055275A">
        <w:rPr>
          <w:rFonts w:ascii="Arial" w:hAnsi="Arial"/>
          <w:sz w:val="17"/>
          <w:szCs w:val="17"/>
          <w:lang w:val="es-CL"/>
        </w:rPr>
        <w:t>Asistencia de Pago Inicial</w:t>
      </w:r>
      <w:r w:rsidRPr="0C8BC006" w:rsidR="00E83258">
        <w:rPr>
          <w:rFonts w:ascii="Arial" w:hAnsi="Arial"/>
          <w:sz w:val="17"/>
          <w:szCs w:val="17"/>
          <w:lang w:val="es-CL"/>
        </w:rPr>
        <w:t>:</w:t>
      </w:r>
      <w:r w:rsidRPr="0C8BC006" w:rsidR="003C5D82">
        <w:rPr>
          <w:rFonts w:ascii="Arial" w:hAnsi="Arial"/>
          <w:b w:val="0"/>
          <w:bCs w:val="0"/>
          <w:sz w:val="17"/>
          <w:szCs w:val="17"/>
          <w:lang w:val="es-CL"/>
        </w:rPr>
        <w:t xml:space="preserve"> </w:t>
      </w:r>
      <w:r w:rsidRPr="0C8BC006" w:rsidR="0055275A">
        <w:rPr>
          <w:rFonts w:ascii="Arial" w:hAnsi="Arial"/>
          <w:b w:val="0"/>
          <w:bCs w:val="0"/>
          <w:sz w:val="17"/>
          <w:szCs w:val="17"/>
          <w:lang w:val="es-CL"/>
        </w:rPr>
        <w:t>Financiamiento de diferencia de</w:t>
      </w:r>
      <w:r w:rsidRPr="0C8BC006" w:rsidR="0044299E">
        <w:rPr>
          <w:rFonts w:ascii="Arial" w:hAnsi="Arial"/>
          <w:b w:val="0"/>
          <w:bCs w:val="0"/>
          <w:sz w:val="17"/>
          <w:szCs w:val="17"/>
          <w:lang w:val="es-CL"/>
        </w:rPr>
        <w:t xml:space="preserve"> capital acumulado</w:t>
      </w:r>
      <w:r w:rsidRPr="0C8BC006" w:rsidR="0055275A">
        <w:rPr>
          <w:rFonts w:ascii="Arial" w:hAnsi="Arial"/>
          <w:b w:val="0"/>
          <w:bCs w:val="0"/>
          <w:sz w:val="17"/>
          <w:szCs w:val="17"/>
          <w:lang w:val="es-CL"/>
        </w:rPr>
        <w:t xml:space="preserve"> compartid</w:t>
      </w:r>
      <w:r w:rsidRPr="0C8BC006" w:rsidR="0044299E">
        <w:rPr>
          <w:rFonts w:ascii="Arial" w:hAnsi="Arial"/>
          <w:b w:val="0"/>
          <w:bCs w:val="0"/>
          <w:sz w:val="17"/>
          <w:szCs w:val="17"/>
          <w:lang w:val="es-CL"/>
        </w:rPr>
        <w:t>o</w:t>
      </w:r>
      <w:r w:rsidRPr="0C8BC006" w:rsidR="0055275A">
        <w:rPr>
          <w:rFonts w:ascii="Arial" w:hAnsi="Arial"/>
          <w:b w:val="0"/>
          <w:bCs w:val="0"/>
          <w:sz w:val="17"/>
          <w:szCs w:val="17"/>
          <w:lang w:val="es-CL"/>
        </w:rPr>
        <w:t xml:space="preserve"> hasta el 30% </w:t>
      </w:r>
      <w:r w:rsidRPr="0C8BC006" w:rsidR="0044299E">
        <w:rPr>
          <w:rFonts w:ascii="Arial" w:hAnsi="Arial"/>
          <w:b w:val="0"/>
          <w:bCs w:val="0"/>
          <w:sz w:val="17"/>
          <w:szCs w:val="17"/>
          <w:lang w:val="es-CL"/>
        </w:rPr>
        <w:t>del precio</w:t>
      </w:r>
      <w:r w:rsidRPr="0C8BC006" w:rsidR="001A5486">
        <w:rPr>
          <w:rFonts w:ascii="Arial" w:hAnsi="Arial"/>
          <w:b w:val="0"/>
          <w:bCs w:val="0"/>
          <w:sz w:val="17"/>
          <w:szCs w:val="17"/>
          <w:lang w:val="es-CL"/>
        </w:rPr>
        <w:t>,</w:t>
      </w:r>
      <w:r w:rsidRPr="0C8BC006" w:rsidR="0044299E">
        <w:rPr>
          <w:rFonts w:ascii="Arial" w:hAnsi="Arial"/>
          <w:b w:val="0"/>
          <w:bCs w:val="0"/>
          <w:sz w:val="17"/>
          <w:szCs w:val="17"/>
          <w:lang w:val="es-CL"/>
        </w:rPr>
        <w:t xml:space="preserve"> </w:t>
      </w:r>
      <w:r w:rsidRPr="0C8BC006" w:rsidR="001A5486">
        <w:rPr>
          <w:rFonts w:ascii="Arial" w:hAnsi="Arial"/>
          <w:b w:val="0"/>
          <w:bCs w:val="0"/>
          <w:sz w:val="17"/>
          <w:szCs w:val="17"/>
          <w:lang w:val="es-CL"/>
        </w:rPr>
        <w:t>con un máximo de $</w:t>
      </w:r>
      <w:r w:rsidRPr="0C8BC006" w:rsidR="3B83E72C">
        <w:rPr>
          <w:rFonts w:ascii="Arial" w:hAnsi="Arial"/>
          <w:b w:val="0"/>
          <w:bCs w:val="0"/>
          <w:sz w:val="17"/>
          <w:szCs w:val="17"/>
          <w:lang w:val="es-CL"/>
        </w:rPr>
        <w:t>8</w:t>
      </w:r>
      <w:r w:rsidRPr="0C8BC006" w:rsidR="001A5486">
        <w:rPr>
          <w:rFonts w:ascii="Arial" w:hAnsi="Arial"/>
          <w:b w:val="0"/>
          <w:bCs w:val="0"/>
          <w:sz w:val="17"/>
          <w:szCs w:val="17"/>
          <w:lang w:val="es-CL"/>
        </w:rPr>
        <w:t xml:space="preserve">0,000, </w:t>
      </w:r>
      <w:r w:rsidRPr="0C8BC006" w:rsidR="0044299E">
        <w:rPr>
          <w:rFonts w:ascii="Arial" w:hAnsi="Arial"/>
          <w:b w:val="0"/>
          <w:bCs w:val="0"/>
          <w:sz w:val="17"/>
          <w:szCs w:val="17"/>
          <w:lang w:val="es-CL"/>
        </w:rPr>
        <w:t>de</w:t>
      </w:r>
      <w:r w:rsidRPr="0C8BC006" w:rsidR="0055275A">
        <w:rPr>
          <w:rFonts w:ascii="Arial" w:hAnsi="Arial"/>
          <w:b w:val="0"/>
          <w:bCs w:val="0"/>
          <w:sz w:val="17"/>
          <w:szCs w:val="17"/>
          <w:lang w:val="es-CL"/>
        </w:rPr>
        <w:t xml:space="preserve"> cualquier casa en venta en la ciudad de </w:t>
      </w:r>
      <w:r w:rsidRPr="0C8BC006" w:rsidR="0055275A">
        <w:rPr>
          <w:rFonts w:ascii="Arial" w:hAnsi="Arial"/>
          <w:b w:val="0"/>
          <w:bCs w:val="0"/>
          <w:sz w:val="17"/>
          <w:szCs w:val="17"/>
          <w:lang w:val="es-CL"/>
        </w:rPr>
        <w:t>College</w:t>
      </w:r>
      <w:r w:rsidRPr="0C8BC006" w:rsidR="0055275A">
        <w:rPr>
          <w:rFonts w:ascii="Arial" w:hAnsi="Arial"/>
          <w:b w:val="0"/>
          <w:bCs w:val="0"/>
          <w:sz w:val="17"/>
          <w:szCs w:val="17"/>
          <w:lang w:val="es-CL"/>
        </w:rPr>
        <w:t xml:space="preserve"> </w:t>
      </w:r>
      <w:r w:rsidRPr="0C8BC006" w:rsidR="0055275A">
        <w:rPr>
          <w:rFonts w:ascii="Arial" w:hAnsi="Arial"/>
          <w:b w:val="0"/>
          <w:bCs w:val="0"/>
          <w:sz w:val="17"/>
          <w:szCs w:val="17"/>
          <w:lang w:val="es-CL"/>
        </w:rPr>
        <w:t>Station</w:t>
      </w:r>
      <w:r w:rsidRPr="0C8BC006" w:rsidR="0055275A">
        <w:rPr>
          <w:rFonts w:ascii="Arial" w:hAnsi="Arial"/>
          <w:b w:val="0"/>
          <w:bCs w:val="0"/>
          <w:sz w:val="17"/>
          <w:szCs w:val="17"/>
          <w:lang w:val="es-CL"/>
        </w:rPr>
        <w:t xml:space="preserve"> está disponible. La cantidad de la ayuda se determina por la necesidad demostrada del prestatario o </w:t>
      </w:r>
      <w:r w:rsidRPr="0C8BC006" w:rsidR="0044299E">
        <w:rPr>
          <w:rFonts w:ascii="Arial" w:hAnsi="Arial"/>
          <w:b w:val="0"/>
          <w:bCs w:val="0"/>
          <w:sz w:val="17"/>
          <w:szCs w:val="17"/>
          <w:lang w:val="es-CL"/>
        </w:rPr>
        <w:t xml:space="preserve">su </w:t>
      </w:r>
      <w:r w:rsidRPr="0C8BC006" w:rsidR="0055275A">
        <w:rPr>
          <w:rFonts w:ascii="Arial" w:hAnsi="Arial"/>
          <w:b w:val="0"/>
          <w:bCs w:val="0"/>
          <w:sz w:val="17"/>
          <w:szCs w:val="17"/>
          <w:lang w:val="es-CL"/>
        </w:rPr>
        <w:t xml:space="preserve">"brecha financiera".  El préstamo </w:t>
      </w:r>
      <w:r w:rsidRPr="0C8BC006" w:rsidR="0044299E">
        <w:rPr>
          <w:rFonts w:ascii="Arial" w:hAnsi="Arial"/>
          <w:b w:val="0"/>
          <w:bCs w:val="0"/>
          <w:sz w:val="17"/>
          <w:szCs w:val="17"/>
          <w:lang w:val="es-CL"/>
        </w:rPr>
        <w:t>es</w:t>
      </w:r>
      <w:r w:rsidRPr="0C8BC006" w:rsidR="0055275A">
        <w:rPr>
          <w:rFonts w:ascii="Arial" w:hAnsi="Arial"/>
          <w:b w:val="0"/>
          <w:bCs w:val="0"/>
          <w:sz w:val="17"/>
          <w:szCs w:val="17"/>
          <w:lang w:val="es-CL"/>
        </w:rPr>
        <w:t xml:space="preserve"> </w:t>
      </w:r>
      <w:r w:rsidRPr="0C8BC006" w:rsidR="0044299E">
        <w:rPr>
          <w:rFonts w:ascii="Arial" w:hAnsi="Arial"/>
          <w:b w:val="0"/>
          <w:bCs w:val="0"/>
          <w:sz w:val="17"/>
          <w:szCs w:val="17"/>
          <w:lang w:val="es-CL"/>
        </w:rPr>
        <w:t>deferido</w:t>
      </w:r>
      <w:r w:rsidRPr="0C8BC006" w:rsidR="0055275A">
        <w:rPr>
          <w:rFonts w:ascii="Arial" w:hAnsi="Arial"/>
          <w:b w:val="0"/>
          <w:bCs w:val="0"/>
          <w:sz w:val="17"/>
          <w:szCs w:val="17"/>
          <w:lang w:val="es-CL"/>
        </w:rPr>
        <w:t xml:space="preserve"> y sin intereses. El comprador firma una nota y la escritura de fideicomiso con la Ciudad. El porcentaje de equidad reembolsable está determinada por la cantidad de asistencia dividida por el costo de adquirir la propiedad multiplicada por el valor obtenido en el momento de la venta. La cantidad del préstamo original más la cantidad de equidad compartida se </w:t>
      </w:r>
      <w:r w:rsidRPr="0C8BC006" w:rsidR="00AE06B7">
        <w:rPr>
          <w:rFonts w:ascii="Arial" w:hAnsi="Arial"/>
          <w:b w:val="0"/>
          <w:bCs w:val="0"/>
          <w:sz w:val="17"/>
          <w:szCs w:val="17"/>
          <w:lang w:val="es-CL"/>
        </w:rPr>
        <w:t>paga después de</w:t>
      </w:r>
      <w:r w:rsidRPr="0C8BC006" w:rsidR="0055275A">
        <w:rPr>
          <w:rFonts w:ascii="Arial" w:hAnsi="Arial"/>
          <w:b w:val="0"/>
          <w:bCs w:val="0"/>
          <w:sz w:val="17"/>
          <w:szCs w:val="17"/>
          <w:lang w:val="es-CL"/>
        </w:rPr>
        <w:t xml:space="preserve"> la venta de la propiedad, o cuando el comprador deja </w:t>
      </w:r>
      <w:r w:rsidRPr="0C8BC006" w:rsidR="0087057F">
        <w:rPr>
          <w:rFonts w:ascii="Arial" w:hAnsi="Arial"/>
          <w:b w:val="0"/>
          <w:bCs w:val="0"/>
          <w:sz w:val="17"/>
          <w:szCs w:val="17"/>
          <w:lang w:val="es-CL"/>
        </w:rPr>
        <w:t>de</w:t>
      </w:r>
      <w:r w:rsidRPr="0C8BC006" w:rsidR="0055275A">
        <w:rPr>
          <w:rFonts w:ascii="Arial" w:hAnsi="Arial"/>
          <w:b w:val="0"/>
          <w:bCs w:val="0"/>
          <w:sz w:val="17"/>
          <w:szCs w:val="17"/>
          <w:lang w:val="es-CL"/>
        </w:rPr>
        <w:t xml:space="preserve"> </w:t>
      </w:r>
      <w:r w:rsidRPr="0C8BC006" w:rsidR="00AE06B7">
        <w:rPr>
          <w:rFonts w:ascii="Arial" w:hAnsi="Arial"/>
          <w:b w:val="0"/>
          <w:bCs w:val="0"/>
          <w:sz w:val="17"/>
          <w:szCs w:val="17"/>
          <w:lang w:val="es-CL"/>
        </w:rPr>
        <w:t>ocupar</w:t>
      </w:r>
      <w:r w:rsidRPr="0C8BC006" w:rsidR="0087057F">
        <w:rPr>
          <w:rFonts w:ascii="Arial" w:hAnsi="Arial"/>
          <w:b w:val="0"/>
          <w:bCs w:val="0"/>
          <w:sz w:val="17"/>
          <w:szCs w:val="17"/>
          <w:lang w:val="es-CL"/>
        </w:rPr>
        <w:t>la</w:t>
      </w:r>
      <w:r w:rsidRPr="0C8BC006" w:rsidR="00AE06B7">
        <w:rPr>
          <w:rFonts w:ascii="Arial" w:hAnsi="Arial"/>
          <w:b w:val="0"/>
          <w:bCs w:val="0"/>
          <w:sz w:val="17"/>
          <w:szCs w:val="17"/>
          <w:lang w:val="es-CL"/>
        </w:rPr>
        <w:t xml:space="preserve"> como </w:t>
      </w:r>
      <w:r w:rsidRPr="0C8BC006" w:rsidR="0055275A">
        <w:rPr>
          <w:rFonts w:ascii="Arial" w:hAnsi="Arial"/>
          <w:b w:val="0"/>
          <w:bCs w:val="0"/>
          <w:sz w:val="17"/>
          <w:szCs w:val="17"/>
          <w:lang w:val="es-CL"/>
        </w:rPr>
        <w:t xml:space="preserve">propietario. </w:t>
      </w:r>
    </w:p>
    <w:p w:rsidRPr="00253367" w:rsidR="0055275A" w:rsidRDefault="0055275A" w14:paraId="6A05A809" w14:textId="77777777">
      <w:pPr>
        <w:rPr>
          <w:rFonts w:ascii="Arial" w:hAnsi="Arial"/>
          <w:b w:val="0"/>
          <w:sz w:val="17"/>
          <w:szCs w:val="17"/>
          <w:lang w:val="es-CL"/>
        </w:rPr>
      </w:pPr>
    </w:p>
    <w:p w:rsidRPr="00253367" w:rsidR="001A002C" w:rsidRDefault="00AE06B7" w14:paraId="2600D196" w14:textId="77777777">
      <w:pPr>
        <w:rPr>
          <w:rFonts w:ascii="Arial" w:hAnsi="Arial"/>
          <w:b w:val="0"/>
          <w:sz w:val="17"/>
          <w:szCs w:val="17"/>
          <w:lang w:val="es-CL"/>
        </w:rPr>
      </w:pPr>
      <w:r w:rsidRPr="00253367">
        <w:rPr>
          <w:rFonts w:ascii="Arial" w:hAnsi="Arial"/>
          <w:b w:val="0"/>
          <w:sz w:val="17"/>
          <w:szCs w:val="17"/>
          <w:lang w:val="es-CL"/>
        </w:rPr>
        <w:t xml:space="preserve">Los compradores </w:t>
      </w:r>
      <w:r w:rsidRPr="00253367" w:rsidR="0087057F">
        <w:rPr>
          <w:rFonts w:ascii="Arial" w:hAnsi="Arial"/>
          <w:b w:val="0"/>
          <w:sz w:val="17"/>
          <w:szCs w:val="17"/>
          <w:lang w:val="es-CL"/>
        </w:rPr>
        <w:t>tienen que</w:t>
      </w:r>
      <w:r w:rsidRPr="00253367">
        <w:rPr>
          <w:rFonts w:ascii="Arial" w:hAnsi="Arial"/>
          <w:b w:val="0"/>
          <w:sz w:val="17"/>
          <w:szCs w:val="17"/>
          <w:lang w:val="es-CL"/>
        </w:rPr>
        <w:t xml:space="preserve"> contribuir un mínimo de 1.5% del </w:t>
      </w:r>
      <w:r w:rsidRPr="00253367" w:rsidR="0087057F">
        <w:rPr>
          <w:rFonts w:ascii="Arial" w:hAnsi="Arial"/>
          <w:b w:val="0"/>
          <w:sz w:val="17"/>
          <w:szCs w:val="17"/>
          <w:lang w:val="es-CL"/>
        </w:rPr>
        <w:t xml:space="preserve">precio </w:t>
      </w:r>
      <w:r w:rsidRPr="00253367">
        <w:rPr>
          <w:rFonts w:ascii="Arial" w:hAnsi="Arial"/>
          <w:b w:val="0"/>
          <w:sz w:val="17"/>
          <w:szCs w:val="17"/>
          <w:lang w:val="es-CL"/>
        </w:rPr>
        <w:t xml:space="preserve">total de venta de la casa en el momento del cierre (incluyendo el </w:t>
      </w:r>
      <w:r w:rsidRPr="00253367" w:rsidR="0087057F">
        <w:rPr>
          <w:rFonts w:ascii="Arial" w:hAnsi="Arial"/>
          <w:b w:val="0"/>
          <w:sz w:val="17"/>
          <w:szCs w:val="17"/>
          <w:lang w:val="es-CL"/>
        </w:rPr>
        <w:t>depósito de garantía</w:t>
      </w:r>
      <w:r w:rsidRPr="00253367">
        <w:rPr>
          <w:rFonts w:ascii="Arial" w:hAnsi="Arial"/>
          <w:b w:val="0"/>
          <w:sz w:val="17"/>
          <w:szCs w:val="17"/>
          <w:lang w:val="es-CL"/>
        </w:rPr>
        <w:t>).</w:t>
      </w:r>
    </w:p>
    <w:p w:rsidRPr="00253367" w:rsidR="00253367" w:rsidRDefault="00253367" w14:paraId="5A39BBE3" w14:textId="77777777">
      <w:pPr>
        <w:rPr>
          <w:rFonts w:ascii="Arial" w:hAnsi="Arial"/>
          <w:b w:val="0"/>
          <w:sz w:val="17"/>
          <w:szCs w:val="17"/>
          <w:lang w:val="es-CL"/>
        </w:rPr>
      </w:pPr>
    </w:p>
    <w:p w:rsidRPr="00253367" w:rsidR="00253367" w:rsidRDefault="00253367" w14:paraId="00A090D6" w14:textId="77777777">
      <w:pPr>
        <w:rPr>
          <w:rFonts w:ascii="Arial" w:hAnsi="Arial"/>
          <w:b w:val="0"/>
          <w:sz w:val="17"/>
          <w:szCs w:val="17"/>
          <w:lang w:val="es-CL"/>
        </w:rPr>
      </w:pPr>
      <w:r w:rsidRPr="00253367">
        <w:rPr>
          <w:rFonts w:ascii="Arial" w:hAnsi="Arial"/>
          <w:b w:val="0"/>
          <w:sz w:val="17"/>
          <w:szCs w:val="17"/>
          <w:lang w:val="es-CL"/>
        </w:rPr>
        <w:t>Los compradores de vivienda tienen que recibir asesoramiento sobre viviendas proporcionado por un asesor y una agencia de asesoramiento sobre vivienda aprobados por HUD antes del cierre de compra.</w:t>
      </w:r>
    </w:p>
    <w:p w:rsidRPr="00253367" w:rsidR="00AE06B7" w:rsidRDefault="00AE06B7" w14:paraId="41C8F396" w14:textId="77777777">
      <w:pPr>
        <w:rPr>
          <w:rFonts w:ascii="Arial" w:hAnsi="Arial"/>
          <w:b w:val="0"/>
          <w:sz w:val="17"/>
          <w:szCs w:val="17"/>
          <w:lang w:val="es-CL"/>
        </w:rPr>
      </w:pPr>
    </w:p>
    <w:p w:rsidRPr="00253367" w:rsidR="00AE06B7" w:rsidP="00AE06B7" w:rsidRDefault="00AE06B7" w14:paraId="6B4F3B68" w14:textId="77777777">
      <w:pPr>
        <w:rPr>
          <w:rFonts w:ascii="Arial" w:hAnsi="Arial"/>
          <w:b w:val="0"/>
          <w:sz w:val="17"/>
          <w:szCs w:val="17"/>
          <w:lang w:val="es-CL"/>
        </w:rPr>
      </w:pPr>
      <w:r w:rsidRPr="00253367">
        <w:rPr>
          <w:rFonts w:ascii="Arial" w:hAnsi="Arial"/>
          <w:b w:val="0"/>
          <w:sz w:val="17"/>
          <w:szCs w:val="17"/>
          <w:lang w:val="es-CL"/>
        </w:rPr>
        <w:t xml:space="preserve">La habilidad de pagar se determinará </w:t>
      </w:r>
      <w:r w:rsidRPr="00253367" w:rsidR="0087057F">
        <w:rPr>
          <w:rFonts w:ascii="Arial" w:hAnsi="Arial"/>
          <w:b w:val="0"/>
          <w:sz w:val="17"/>
          <w:szCs w:val="17"/>
          <w:lang w:val="es-CL"/>
        </w:rPr>
        <w:t>al</w:t>
      </w:r>
      <w:r w:rsidRPr="00253367">
        <w:rPr>
          <w:rFonts w:ascii="Arial" w:hAnsi="Arial"/>
          <w:b w:val="0"/>
          <w:sz w:val="17"/>
          <w:szCs w:val="17"/>
          <w:lang w:val="es-CL"/>
        </w:rPr>
        <w:t xml:space="preserve"> asegurar </w:t>
      </w:r>
      <w:r w:rsidRPr="00253367" w:rsidR="0087057F">
        <w:rPr>
          <w:rFonts w:ascii="Arial" w:hAnsi="Arial"/>
          <w:b w:val="0"/>
          <w:sz w:val="17"/>
          <w:szCs w:val="17"/>
          <w:lang w:val="es-CL"/>
        </w:rPr>
        <w:t xml:space="preserve">que </w:t>
      </w:r>
      <w:r w:rsidRPr="00253367">
        <w:rPr>
          <w:rFonts w:ascii="Arial" w:hAnsi="Arial"/>
          <w:b w:val="0"/>
          <w:sz w:val="17"/>
          <w:szCs w:val="17"/>
          <w:lang w:val="es-CL"/>
        </w:rPr>
        <w:t xml:space="preserve">el pago total de PITI </w:t>
      </w:r>
      <w:r w:rsidRPr="00253367" w:rsidR="0087057F">
        <w:rPr>
          <w:rFonts w:ascii="Arial" w:hAnsi="Arial"/>
          <w:b w:val="0"/>
          <w:sz w:val="17"/>
          <w:szCs w:val="17"/>
          <w:lang w:val="es-CL"/>
        </w:rPr>
        <w:t xml:space="preserve">(principal, interés, impuestos y seguro) </w:t>
      </w:r>
      <w:r w:rsidRPr="00253367">
        <w:rPr>
          <w:rFonts w:ascii="Arial" w:hAnsi="Arial"/>
          <w:b w:val="0"/>
          <w:sz w:val="17"/>
          <w:szCs w:val="17"/>
          <w:lang w:val="es-CL"/>
        </w:rPr>
        <w:t xml:space="preserve">no es </w:t>
      </w:r>
      <w:r w:rsidRPr="00253367" w:rsidR="00DF58F4">
        <w:rPr>
          <w:rFonts w:ascii="Arial" w:hAnsi="Arial"/>
          <w:b w:val="0"/>
          <w:sz w:val="17"/>
          <w:szCs w:val="17"/>
          <w:lang w:val="es-CL"/>
        </w:rPr>
        <w:t>menos que el</w:t>
      </w:r>
      <w:r w:rsidRPr="00253367">
        <w:rPr>
          <w:rFonts w:ascii="Arial" w:hAnsi="Arial"/>
          <w:b w:val="0"/>
          <w:sz w:val="17"/>
          <w:szCs w:val="17"/>
          <w:lang w:val="es-CL"/>
        </w:rPr>
        <w:t xml:space="preserve"> 20% pero no más del 35% de los ingresos mensuales </w:t>
      </w:r>
      <w:r w:rsidRPr="00253367" w:rsidR="0087057F">
        <w:rPr>
          <w:rFonts w:ascii="Arial" w:hAnsi="Arial"/>
          <w:b w:val="0"/>
          <w:sz w:val="17"/>
          <w:szCs w:val="17"/>
          <w:lang w:val="es-CL"/>
        </w:rPr>
        <w:t>del comprador elegible</w:t>
      </w:r>
      <w:r w:rsidRPr="00253367">
        <w:rPr>
          <w:rFonts w:ascii="Arial" w:hAnsi="Arial"/>
          <w:b w:val="0"/>
          <w:sz w:val="17"/>
          <w:szCs w:val="17"/>
          <w:lang w:val="es-CL"/>
        </w:rPr>
        <w:t xml:space="preserve">. El número máximo total de </w:t>
      </w:r>
      <w:r w:rsidRPr="00253367" w:rsidR="00D34031">
        <w:rPr>
          <w:rFonts w:ascii="Arial" w:hAnsi="Arial"/>
          <w:b w:val="0"/>
          <w:sz w:val="17"/>
          <w:szCs w:val="17"/>
          <w:lang w:val="es-CL"/>
        </w:rPr>
        <w:t>relación deuda-ingreso</w:t>
      </w:r>
      <w:r w:rsidRPr="00253367">
        <w:rPr>
          <w:rFonts w:ascii="Arial" w:hAnsi="Arial"/>
          <w:b w:val="0"/>
          <w:sz w:val="17"/>
          <w:szCs w:val="17"/>
          <w:lang w:val="es-CL"/>
        </w:rPr>
        <w:t xml:space="preserve"> es del 45%.</w:t>
      </w:r>
    </w:p>
    <w:p w:rsidRPr="00253367" w:rsidR="00AE06B7" w:rsidP="00AE06B7" w:rsidRDefault="00AE06B7" w14:paraId="72A3D3EC" w14:textId="77777777">
      <w:pPr>
        <w:rPr>
          <w:rFonts w:ascii="Arial" w:hAnsi="Arial"/>
          <w:b w:val="0"/>
          <w:sz w:val="17"/>
          <w:szCs w:val="17"/>
          <w:lang w:val="es-CL"/>
        </w:rPr>
      </w:pPr>
    </w:p>
    <w:p w:rsidRPr="00253367" w:rsidR="00AE06B7" w:rsidP="00AE06B7" w:rsidRDefault="00DF58F4" w14:paraId="14726D28" w14:textId="77777777">
      <w:pPr>
        <w:rPr>
          <w:rFonts w:ascii="Arial" w:hAnsi="Arial"/>
          <w:b w:val="0"/>
          <w:sz w:val="17"/>
          <w:szCs w:val="17"/>
          <w:lang w:val="es-CL"/>
        </w:rPr>
      </w:pPr>
      <w:r w:rsidRPr="00253367">
        <w:rPr>
          <w:rFonts w:ascii="Arial" w:hAnsi="Arial"/>
          <w:b w:val="0"/>
          <w:sz w:val="17"/>
          <w:szCs w:val="17"/>
          <w:lang w:val="es-CL"/>
        </w:rPr>
        <w:t>Calculo de p</w:t>
      </w:r>
      <w:r w:rsidRPr="00253367" w:rsidR="00AE06B7">
        <w:rPr>
          <w:rFonts w:ascii="Arial" w:hAnsi="Arial"/>
          <w:b w:val="0"/>
          <w:sz w:val="17"/>
          <w:szCs w:val="17"/>
          <w:lang w:val="es-CL"/>
        </w:rPr>
        <w:t xml:space="preserve">untuación de crédito promedio no menos de 600. Sin </w:t>
      </w:r>
      <w:r w:rsidRPr="00253367" w:rsidR="00D34031">
        <w:rPr>
          <w:rFonts w:ascii="Arial" w:hAnsi="Arial"/>
          <w:b w:val="0"/>
          <w:sz w:val="17"/>
          <w:szCs w:val="17"/>
          <w:lang w:val="es-CL"/>
        </w:rPr>
        <w:t>bancarrota</w:t>
      </w:r>
      <w:r w:rsidRPr="00253367">
        <w:rPr>
          <w:rFonts w:ascii="Arial" w:hAnsi="Arial"/>
          <w:b w:val="0"/>
          <w:sz w:val="17"/>
          <w:szCs w:val="17"/>
          <w:lang w:val="es-CL"/>
        </w:rPr>
        <w:t xml:space="preserve"> financiera</w:t>
      </w:r>
      <w:r w:rsidRPr="00253367" w:rsidR="00AE06B7">
        <w:rPr>
          <w:rFonts w:ascii="Arial" w:hAnsi="Arial"/>
          <w:b w:val="0"/>
          <w:sz w:val="17"/>
          <w:szCs w:val="17"/>
          <w:lang w:val="es-CL"/>
        </w:rPr>
        <w:t xml:space="preserve">, ejecuciones hipotecarias, </w:t>
      </w:r>
      <w:r w:rsidRPr="00253367">
        <w:rPr>
          <w:rFonts w:ascii="Arial" w:hAnsi="Arial"/>
          <w:b w:val="0"/>
          <w:sz w:val="17"/>
          <w:szCs w:val="17"/>
          <w:lang w:val="es-CL"/>
        </w:rPr>
        <w:t>retraso</w:t>
      </w:r>
      <w:r w:rsidRPr="00253367" w:rsidR="00D34031">
        <w:rPr>
          <w:rFonts w:ascii="Arial" w:hAnsi="Arial"/>
          <w:b w:val="0"/>
          <w:sz w:val="17"/>
          <w:szCs w:val="17"/>
          <w:lang w:val="es-CL"/>
        </w:rPr>
        <w:t>s</w:t>
      </w:r>
      <w:r w:rsidRPr="00253367" w:rsidR="00AE06B7">
        <w:rPr>
          <w:rFonts w:ascii="Arial" w:hAnsi="Arial"/>
          <w:b w:val="0"/>
          <w:sz w:val="17"/>
          <w:szCs w:val="17"/>
          <w:lang w:val="es-CL"/>
        </w:rPr>
        <w:t xml:space="preserve"> de préstamos estudiantiles, </w:t>
      </w:r>
      <w:r w:rsidRPr="00253367">
        <w:rPr>
          <w:rFonts w:ascii="Arial" w:hAnsi="Arial"/>
          <w:b w:val="0"/>
          <w:sz w:val="17"/>
          <w:szCs w:val="17"/>
          <w:lang w:val="es-CL"/>
        </w:rPr>
        <w:t xml:space="preserve">retrasos de </w:t>
      </w:r>
      <w:r w:rsidRPr="00253367" w:rsidR="00D34031">
        <w:rPr>
          <w:rFonts w:ascii="Arial" w:hAnsi="Arial"/>
          <w:b w:val="0"/>
          <w:sz w:val="17"/>
          <w:szCs w:val="17"/>
          <w:lang w:val="es-CL"/>
        </w:rPr>
        <w:t>pensión alimenticia</w:t>
      </w:r>
      <w:r w:rsidRPr="00253367">
        <w:rPr>
          <w:rFonts w:ascii="Arial" w:hAnsi="Arial"/>
          <w:b w:val="0"/>
          <w:sz w:val="17"/>
          <w:szCs w:val="17"/>
          <w:lang w:val="es-CL"/>
        </w:rPr>
        <w:t xml:space="preserve"> de niños</w:t>
      </w:r>
      <w:r w:rsidRPr="00253367" w:rsidR="00AE06B7">
        <w:rPr>
          <w:rFonts w:ascii="Arial" w:hAnsi="Arial"/>
          <w:b w:val="0"/>
          <w:sz w:val="17"/>
          <w:szCs w:val="17"/>
          <w:lang w:val="es-CL"/>
        </w:rPr>
        <w:t xml:space="preserve">, </w:t>
      </w:r>
      <w:r w:rsidRPr="00253367">
        <w:rPr>
          <w:rFonts w:ascii="Arial" w:hAnsi="Arial"/>
          <w:b w:val="0"/>
          <w:sz w:val="17"/>
          <w:szCs w:val="17"/>
          <w:lang w:val="es-CL"/>
        </w:rPr>
        <w:t xml:space="preserve">retrasos de </w:t>
      </w:r>
      <w:r w:rsidRPr="00253367" w:rsidR="00D34031">
        <w:rPr>
          <w:rFonts w:ascii="Arial" w:hAnsi="Arial"/>
          <w:b w:val="0"/>
          <w:sz w:val="17"/>
          <w:szCs w:val="17"/>
          <w:lang w:val="es-CL"/>
        </w:rPr>
        <w:t xml:space="preserve">pagos de </w:t>
      </w:r>
      <w:r w:rsidRPr="00253367">
        <w:rPr>
          <w:rFonts w:ascii="Arial" w:hAnsi="Arial"/>
          <w:b w:val="0"/>
          <w:sz w:val="17"/>
          <w:szCs w:val="17"/>
          <w:lang w:val="es-CL"/>
        </w:rPr>
        <w:t>impuestos</w:t>
      </w:r>
      <w:r w:rsidRPr="00253367" w:rsidR="00AE06B7">
        <w:rPr>
          <w:rFonts w:ascii="Arial" w:hAnsi="Arial"/>
          <w:b w:val="0"/>
          <w:sz w:val="17"/>
          <w:szCs w:val="17"/>
          <w:lang w:val="es-CL"/>
        </w:rPr>
        <w:t xml:space="preserve">, o </w:t>
      </w:r>
      <w:r w:rsidRPr="00253367">
        <w:rPr>
          <w:rFonts w:ascii="Arial" w:hAnsi="Arial"/>
          <w:b w:val="0"/>
          <w:sz w:val="17"/>
          <w:szCs w:val="17"/>
          <w:lang w:val="es-CL"/>
        </w:rPr>
        <w:t>reposesiones</w:t>
      </w:r>
      <w:r w:rsidRPr="00253367" w:rsidR="00AE06B7">
        <w:rPr>
          <w:rFonts w:ascii="Arial" w:hAnsi="Arial"/>
          <w:b w:val="0"/>
          <w:sz w:val="17"/>
          <w:szCs w:val="17"/>
          <w:lang w:val="es-CL"/>
        </w:rPr>
        <w:t xml:space="preserve"> fiscal</w:t>
      </w:r>
      <w:r w:rsidRPr="00253367" w:rsidR="00D34031">
        <w:rPr>
          <w:rFonts w:ascii="Arial" w:hAnsi="Arial"/>
          <w:b w:val="0"/>
          <w:sz w:val="17"/>
          <w:szCs w:val="17"/>
          <w:lang w:val="es-CL"/>
        </w:rPr>
        <w:t>es</w:t>
      </w:r>
      <w:r w:rsidRPr="00253367" w:rsidR="00AE06B7">
        <w:rPr>
          <w:rFonts w:ascii="Arial" w:hAnsi="Arial"/>
          <w:b w:val="0"/>
          <w:sz w:val="17"/>
          <w:szCs w:val="17"/>
          <w:lang w:val="es-CL"/>
        </w:rPr>
        <w:t xml:space="preserve"> </w:t>
      </w:r>
      <w:r w:rsidRPr="00253367" w:rsidR="00D34031">
        <w:rPr>
          <w:rFonts w:ascii="Arial" w:hAnsi="Arial"/>
          <w:b w:val="0"/>
          <w:sz w:val="17"/>
          <w:szCs w:val="17"/>
          <w:lang w:val="es-CL"/>
        </w:rPr>
        <w:t>en</w:t>
      </w:r>
      <w:r w:rsidRPr="00253367" w:rsidR="00AE06B7">
        <w:rPr>
          <w:rFonts w:ascii="Arial" w:hAnsi="Arial"/>
          <w:b w:val="0"/>
          <w:sz w:val="17"/>
          <w:szCs w:val="17"/>
          <w:lang w:val="es-CL"/>
        </w:rPr>
        <w:t xml:space="preserve"> los últimos dos años.</w:t>
      </w:r>
    </w:p>
    <w:p w:rsidRPr="00253367" w:rsidR="00AE06B7" w:rsidP="00AE06B7" w:rsidRDefault="00AE06B7" w14:paraId="0D0B940D" w14:textId="77777777">
      <w:pPr>
        <w:rPr>
          <w:rFonts w:ascii="Arial" w:hAnsi="Arial"/>
          <w:b w:val="0"/>
          <w:sz w:val="17"/>
          <w:szCs w:val="17"/>
          <w:lang w:val="es-CL"/>
        </w:rPr>
      </w:pPr>
    </w:p>
    <w:p w:rsidRPr="00253367" w:rsidR="00AE06B7" w:rsidP="00AE06B7" w:rsidRDefault="00AE06B7" w14:paraId="6935A0D3" w14:textId="77777777">
      <w:pPr>
        <w:rPr>
          <w:rFonts w:ascii="Arial" w:hAnsi="Arial"/>
          <w:b w:val="0"/>
          <w:sz w:val="17"/>
          <w:szCs w:val="17"/>
          <w:lang w:val="es-CL"/>
        </w:rPr>
      </w:pPr>
      <w:r w:rsidRPr="00253367">
        <w:rPr>
          <w:rFonts w:ascii="Arial" w:hAnsi="Arial"/>
          <w:b w:val="0"/>
          <w:sz w:val="17"/>
          <w:szCs w:val="17"/>
          <w:lang w:val="es-CL"/>
        </w:rPr>
        <w:t>Historia de empleo mínima en el mismo puesto o, en el caso de profesionales, empleados asalariados, en el mismo campo de trabajo durante un mínimo de seis (6) meses.</w:t>
      </w:r>
    </w:p>
    <w:p w:rsidRPr="00253367" w:rsidR="00AE06B7" w:rsidP="00AE06B7" w:rsidRDefault="00AE06B7" w14:paraId="0E27B00A" w14:textId="77777777">
      <w:pPr>
        <w:rPr>
          <w:rFonts w:ascii="Arial" w:hAnsi="Arial"/>
          <w:b w:val="0"/>
          <w:sz w:val="17"/>
          <w:szCs w:val="17"/>
          <w:lang w:val="es-CL"/>
        </w:rPr>
      </w:pPr>
    </w:p>
    <w:p w:rsidRPr="00253367" w:rsidR="00AE06B7" w:rsidP="00AE06B7" w:rsidRDefault="00C9513C" w14:paraId="20EDDA02" w14:textId="77777777">
      <w:pPr>
        <w:rPr>
          <w:rFonts w:ascii="Arial" w:hAnsi="Arial"/>
          <w:b w:val="0"/>
          <w:sz w:val="17"/>
          <w:szCs w:val="17"/>
          <w:lang w:val="es-CL"/>
        </w:rPr>
      </w:pPr>
      <w:r w:rsidRPr="00253367">
        <w:rPr>
          <w:rFonts w:ascii="Arial" w:hAnsi="Arial"/>
          <w:b w:val="0"/>
          <w:sz w:val="17"/>
          <w:szCs w:val="17"/>
          <w:lang w:val="es-CL"/>
        </w:rPr>
        <w:t>S</w:t>
      </w:r>
      <w:r w:rsidRPr="00253367" w:rsidR="00AE06B7">
        <w:rPr>
          <w:rFonts w:ascii="Arial" w:hAnsi="Arial"/>
          <w:b w:val="0"/>
          <w:sz w:val="17"/>
          <w:szCs w:val="17"/>
          <w:lang w:val="es-CL"/>
        </w:rPr>
        <w:t xml:space="preserve">olicitantes no pueden tener más de </w:t>
      </w:r>
      <w:r w:rsidRPr="00253367" w:rsidR="00DF58F4">
        <w:rPr>
          <w:rFonts w:ascii="Arial" w:hAnsi="Arial"/>
          <w:b w:val="0"/>
          <w:sz w:val="17"/>
          <w:szCs w:val="17"/>
          <w:lang w:val="es-CL"/>
        </w:rPr>
        <w:t>$</w:t>
      </w:r>
      <w:r w:rsidRPr="00253367" w:rsidR="00AE06B7">
        <w:rPr>
          <w:rFonts w:ascii="Arial" w:hAnsi="Arial"/>
          <w:b w:val="0"/>
          <w:sz w:val="17"/>
          <w:szCs w:val="17"/>
          <w:lang w:val="es-CL"/>
        </w:rPr>
        <w:t>20</w:t>
      </w:r>
      <w:r w:rsidRPr="00253367" w:rsidR="00DF58F4">
        <w:rPr>
          <w:rFonts w:ascii="Arial" w:hAnsi="Arial"/>
          <w:b w:val="0"/>
          <w:sz w:val="17"/>
          <w:szCs w:val="17"/>
          <w:lang w:val="es-CL"/>
        </w:rPr>
        <w:t>,</w:t>
      </w:r>
      <w:r w:rsidRPr="00253367" w:rsidR="00AE06B7">
        <w:rPr>
          <w:rFonts w:ascii="Arial" w:hAnsi="Arial"/>
          <w:b w:val="0"/>
          <w:sz w:val="17"/>
          <w:szCs w:val="17"/>
          <w:lang w:val="es-CL"/>
        </w:rPr>
        <w:t xml:space="preserve">000 en </w:t>
      </w:r>
      <w:r w:rsidRPr="00253367" w:rsidR="00D34031">
        <w:rPr>
          <w:rFonts w:ascii="Arial" w:hAnsi="Arial"/>
          <w:b w:val="0"/>
          <w:sz w:val="17"/>
          <w:szCs w:val="17"/>
          <w:lang w:val="es-CL"/>
        </w:rPr>
        <w:t>recursos líquid</w:t>
      </w:r>
      <w:r w:rsidRPr="00253367">
        <w:rPr>
          <w:rFonts w:ascii="Arial" w:hAnsi="Arial"/>
          <w:b w:val="0"/>
          <w:sz w:val="17"/>
          <w:szCs w:val="17"/>
          <w:lang w:val="es-CL"/>
        </w:rPr>
        <w:t>o</w:t>
      </w:r>
      <w:r w:rsidRPr="00253367" w:rsidR="00AE06B7">
        <w:rPr>
          <w:rFonts w:ascii="Arial" w:hAnsi="Arial"/>
          <w:b w:val="0"/>
          <w:sz w:val="17"/>
          <w:szCs w:val="17"/>
          <w:lang w:val="es-CL"/>
        </w:rPr>
        <w:t>s, excluyendo cuentas de jubilación y bienes personales.</w:t>
      </w:r>
    </w:p>
    <w:p w:rsidRPr="00253367" w:rsidR="00AE06B7" w:rsidP="00AE06B7" w:rsidRDefault="00AE06B7" w14:paraId="60061E4C" w14:textId="77777777">
      <w:pPr>
        <w:rPr>
          <w:rFonts w:ascii="Arial" w:hAnsi="Arial"/>
          <w:b w:val="0"/>
          <w:sz w:val="17"/>
          <w:szCs w:val="17"/>
          <w:lang w:val="es-CL"/>
        </w:rPr>
      </w:pPr>
    </w:p>
    <w:p w:rsidRPr="00253367" w:rsidR="00AE06B7" w:rsidP="00AE06B7" w:rsidRDefault="00DF58F4" w14:paraId="54569012" w14:textId="77777777">
      <w:pPr>
        <w:rPr>
          <w:rFonts w:ascii="Arial" w:hAnsi="Arial"/>
          <w:b w:val="0"/>
          <w:sz w:val="17"/>
          <w:szCs w:val="17"/>
          <w:lang w:val="es-CL"/>
        </w:rPr>
      </w:pPr>
      <w:r w:rsidRPr="00253367">
        <w:rPr>
          <w:rFonts w:ascii="Arial" w:hAnsi="Arial"/>
          <w:b w:val="0"/>
          <w:sz w:val="17"/>
          <w:szCs w:val="17"/>
          <w:lang w:val="es-CL"/>
        </w:rPr>
        <w:t>Los solicitantes deben ser C</w:t>
      </w:r>
      <w:r w:rsidRPr="00253367" w:rsidR="00AE06B7">
        <w:rPr>
          <w:rFonts w:ascii="Arial" w:hAnsi="Arial"/>
          <w:b w:val="0"/>
          <w:sz w:val="17"/>
          <w:szCs w:val="17"/>
          <w:lang w:val="es-CL"/>
        </w:rPr>
        <w:t xml:space="preserve">iudadanos </w:t>
      </w:r>
      <w:r w:rsidRPr="00253367">
        <w:rPr>
          <w:rFonts w:ascii="Arial" w:hAnsi="Arial"/>
          <w:b w:val="0"/>
          <w:sz w:val="17"/>
          <w:szCs w:val="17"/>
          <w:lang w:val="es-CL"/>
        </w:rPr>
        <w:t>E</w:t>
      </w:r>
      <w:r w:rsidRPr="00253367" w:rsidR="00AE06B7">
        <w:rPr>
          <w:rFonts w:ascii="Arial" w:hAnsi="Arial"/>
          <w:b w:val="0"/>
          <w:sz w:val="17"/>
          <w:szCs w:val="17"/>
          <w:lang w:val="es-CL"/>
        </w:rPr>
        <w:t>stadounidenses, No-Ci</w:t>
      </w:r>
      <w:r w:rsidRPr="00253367">
        <w:rPr>
          <w:rFonts w:ascii="Arial" w:hAnsi="Arial"/>
          <w:b w:val="0"/>
          <w:sz w:val="17"/>
          <w:szCs w:val="17"/>
          <w:lang w:val="es-CL"/>
        </w:rPr>
        <w:t>udadanos Estadounidenses N</w:t>
      </w:r>
      <w:r w:rsidRPr="00253367" w:rsidR="00AE06B7">
        <w:rPr>
          <w:rFonts w:ascii="Arial" w:hAnsi="Arial"/>
          <w:b w:val="0"/>
          <w:sz w:val="17"/>
          <w:szCs w:val="17"/>
          <w:lang w:val="es-CL"/>
        </w:rPr>
        <w:t>acional</w:t>
      </w:r>
      <w:r w:rsidRPr="00253367" w:rsidR="0044299E">
        <w:rPr>
          <w:rFonts w:ascii="Arial" w:hAnsi="Arial"/>
          <w:b w:val="0"/>
          <w:sz w:val="17"/>
          <w:szCs w:val="17"/>
          <w:lang w:val="es-CL"/>
        </w:rPr>
        <w:t>izados</w:t>
      </w:r>
      <w:r w:rsidRPr="00253367" w:rsidR="00AE06B7">
        <w:rPr>
          <w:rFonts w:ascii="Arial" w:hAnsi="Arial"/>
          <w:b w:val="0"/>
          <w:sz w:val="17"/>
          <w:szCs w:val="17"/>
          <w:lang w:val="es-CL"/>
        </w:rPr>
        <w:t xml:space="preserve"> o </w:t>
      </w:r>
      <w:r w:rsidRPr="00253367">
        <w:rPr>
          <w:rFonts w:ascii="Arial" w:hAnsi="Arial"/>
          <w:b w:val="0"/>
          <w:sz w:val="17"/>
          <w:szCs w:val="17"/>
          <w:lang w:val="es-CL"/>
        </w:rPr>
        <w:t>Extranjeros C</w:t>
      </w:r>
      <w:r w:rsidRPr="00253367" w:rsidR="00AE06B7">
        <w:rPr>
          <w:rFonts w:ascii="Arial" w:hAnsi="Arial"/>
          <w:b w:val="0"/>
          <w:sz w:val="17"/>
          <w:szCs w:val="17"/>
          <w:lang w:val="es-CL"/>
        </w:rPr>
        <w:t>alificados (</w:t>
      </w:r>
      <w:r w:rsidRPr="00253367">
        <w:rPr>
          <w:rFonts w:ascii="Arial" w:hAnsi="Arial"/>
          <w:b w:val="0"/>
          <w:sz w:val="17"/>
          <w:szCs w:val="17"/>
          <w:lang w:val="es-CL"/>
        </w:rPr>
        <w:t xml:space="preserve">Verificación del </w:t>
      </w:r>
      <w:r w:rsidRPr="00253367" w:rsidR="00AE06B7">
        <w:rPr>
          <w:rFonts w:ascii="Arial" w:hAnsi="Arial"/>
          <w:b w:val="0"/>
          <w:sz w:val="17"/>
          <w:szCs w:val="17"/>
          <w:lang w:val="es-CL"/>
        </w:rPr>
        <w:t>Departamento de Seguridad del Territorio Nacional).</w:t>
      </w:r>
    </w:p>
    <w:p w:rsidRPr="00253367" w:rsidR="00AE06B7" w:rsidP="00AE06B7" w:rsidRDefault="00AE06B7" w14:paraId="44EAFD9C" w14:textId="77777777">
      <w:pPr>
        <w:rPr>
          <w:rFonts w:ascii="Arial" w:hAnsi="Arial"/>
          <w:b w:val="0"/>
          <w:sz w:val="17"/>
          <w:szCs w:val="17"/>
          <w:lang w:val="es-CL"/>
        </w:rPr>
      </w:pPr>
    </w:p>
    <w:p w:rsidRPr="00253367" w:rsidR="00AE06B7" w:rsidP="00AE06B7" w:rsidRDefault="00AE06B7" w14:paraId="4D91C075" w14:textId="77777777">
      <w:pPr>
        <w:rPr>
          <w:rFonts w:ascii="Arial" w:hAnsi="Arial"/>
          <w:b w:val="0"/>
          <w:sz w:val="17"/>
          <w:szCs w:val="17"/>
          <w:lang w:val="es-CL"/>
        </w:rPr>
      </w:pPr>
      <w:r w:rsidRPr="00253367">
        <w:rPr>
          <w:rFonts w:ascii="Arial" w:hAnsi="Arial"/>
          <w:b w:val="0"/>
          <w:sz w:val="17"/>
          <w:szCs w:val="17"/>
          <w:lang w:val="es-CL"/>
        </w:rPr>
        <w:t xml:space="preserve">Los prestamistas deben estar registrados en el estado de Texas y proporcionar servicios de </w:t>
      </w:r>
      <w:r w:rsidRPr="00253367" w:rsidR="00B94A18">
        <w:rPr>
          <w:rFonts w:ascii="Arial" w:hAnsi="Arial"/>
          <w:b w:val="0"/>
          <w:sz w:val="17"/>
          <w:szCs w:val="17"/>
          <w:lang w:val="es-CL"/>
        </w:rPr>
        <w:t>fondos de reserva</w:t>
      </w:r>
      <w:r w:rsidRPr="00253367">
        <w:rPr>
          <w:rFonts w:ascii="Arial" w:hAnsi="Arial"/>
          <w:b w:val="0"/>
          <w:sz w:val="17"/>
          <w:szCs w:val="17"/>
          <w:lang w:val="es-CL"/>
        </w:rPr>
        <w:t xml:space="preserve"> a los compradores </w:t>
      </w:r>
      <w:r w:rsidRPr="00253367" w:rsidR="00DF58F4">
        <w:rPr>
          <w:rFonts w:ascii="Arial" w:hAnsi="Arial"/>
          <w:b w:val="0"/>
          <w:sz w:val="17"/>
          <w:szCs w:val="17"/>
          <w:lang w:val="es-CL"/>
        </w:rPr>
        <w:t>para</w:t>
      </w:r>
      <w:r w:rsidRPr="00253367">
        <w:rPr>
          <w:rFonts w:ascii="Arial" w:hAnsi="Arial"/>
          <w:b w:val="0"/>
          <w:sz w:val="17"/>
          <w:szCs w:val="17"/>
          <w:lang w:val="es-CL"/>
        </w:rPr>
        <w:t xml:space="preserve"> </w:t>
      </w:r>
      <w:r w:rsidRPr="00253367" w:rsidR="00DF58F4">
        <w:rPr>
          <w:rFonts w:ascii="Arial" w:hAnsi="Arial"/>
          <w:b w:val="0"/>
          <w:sz w:val="17"/>
          <w:szCs w:val="17"/>
          <w:lang w:val="es-CL"/>
        </w:rPr>
        <w:t xml:space="preserve">el </w:t>
      </w:r>
      <w:r w:rsidRPr="00253367">
        <w:rPr>
          <w:rFonts w:ascii="Arial" w:hAnsi="Arial"/>
          <w:b w:val="0"/>
          <w:sz w:val="17"/>
          <w:szCs w:val="17"/>
          <w:lang w:val="es-CL"/>
        </w:rPr>
        <w:t xml:space="preserve">seguro y los impuestos </w:t>
      </w:r>
      <w:r w:rsidRPr="00253367" w:rsidR="00B94A18">
        <w:rPr>
          <w:rFonts w:ascii="Arial" w:hAnsi="Arial"/>
          <w:b w:val="0"/>
          <w:sz w:val="17"/>
          <w:szCs w:val="17"/>
          <w:lang w:val="es-CL"/>
        </w:rPr>
        <w:t>de</w:t>
      </w:r>
      <w:r w:rsidRPr="00253367">
        <w:rPr>
          <w:rFonts w:ascii="Arial" w:hAnsi="Arial"/>
          <w:b w:val="0"/>
          <w:sz w:val="17"/>
          <w:szCs w:val="17"/>
          <w:lang w:val="es-CL"/>
        </w:rPr>
        <w:t xml:space="preserve"> la propiedad.</w:t>
      </w:r>
    </w:p>
    <w:p w:rsidRPr="00253367" w:rsidR="00AE06B7" w:rsidP="00AE06B7" w:rsidRDefault="00AE06B7" w14:paraId="4B94D5A5" w14:textId="77777777">
      <w:pPr>
        <w:rPr>
          <w:rFonts w:ascii="Arial" w:hAnsi="Arial"/>
          <w:b w:val="0"/>
          <w:sz w:val="17"/>
          <w:szCs w:val="17"/>
          <w:lang w:val="es-CL"/>
        </w:rPr>
      </w:pPr>
    </w:p>
    <w:p w:rsidRPr="00253367" w:rsidR="00AE06B7" w:rsidP="00AE06B7" w:rsidRDefault="00DF58F4" w14:paraId="239AD7AD" w14:textId="77777777">
      <w:pPr>
        <w:rPr>
          <w:rFonts w:ascii="Arial" w:hAnsi="Arial"/>
          <w:b w:val="0"/>
          <w:sz w:val="17"/>
          <w:szCs w:val="17"/>
          <w:lang w:val="es-CL"/>
        </w:rPr>
      </w:pPr>
      <w:r w:rsidRPr="00253367">
        <w:rPr>
          <w:rFonts w:ascii="Arial" w:hAnsi="Arial"/>
          <w:b w:val="0"/>
          <w:sz w:val="17"/>
          <w:szCs w:val="17"/>
          <w:lang w:val="es-CL"/>
        </w:rPr>
        <w:t>La tasa de interés hipotecaria</w:t>
      </w:r>
      <w:r w:rsidRPr="00253367" w:rsidR="00AE06B7">
        <w:rPr>
          <w:rFonts w:ascii="Arial" w:hAnsi="Arial"/>
          <w:b w:val="0"/>
          <w:sz w:val="17"/>
          <w:szCs w:val="17"/>
          <w:lang w:val="es-CL"/>
        </w:rPr>
        <w:t xml:space="preserve"> no </w:t>
      </w:r>
      <w:r w:rsidRPr="00253367">
        <w:rPr>
          <w:rFonts w:ascii="Arial" w:hAnsi="Arial"/>
          <w:b w:val="0"/>
          <w:sz w:val="17"/>
          <w:szCs w:val="17"/>
          <w:lang w:val="es-CL"/>
        </w:rPr>
        <w:t>debe</w:t>
      </w:r>
      <w:r w:rsidRPr="00253367" w:rsidR="00AE06B7">
        <w:rPr>
          <w:rFonts w:ascii="Arial" w:hAnsi="Arial"/>
          <w:b w:val="0"/>
          <w:sz w:val="17"/>
          <w:szCs w:val="17"/>
          <w:lang w:val="es-CL"/>
        </w:rPr>
        <w:t xml:space="preserve"> exce</w:t>
      </w:r>
      <w:r w:rsidRPr="00253367">
        <w:rPr>
          <w:rFonts w:ascii="Arial" w:hAnsi="Arial"/>
          <w:b w:val="0"/>
          <w:sz w:val="17"/>
          <w:szCs w:val="17"/>
          <w:lang w:val="es-CL"/>
        </w:rPr>
        <w:t>der la tasa promedia</w:t>
      </w:r>
      <w:r w:rsidRPr="00253367" w:rsidR="00AE06B7">
        <w:rPr>
          <w:rFonts w:ascii="Arial" w:hAnsi="Arial"/>
          <w:b w:val="0"/>
          <w:sz w:val="17"/>
          <w:szCs w:val="17"/>
          <w:lang w:val="es-CL"/>
        </w:rPr>
        <w:t xml:space="preserve"> local </w:t>
      </w:r>
      <w:r w:rsidRPr="00253367">
        <w:rPr>
          <w:rFonts w:ascii="Arial" w:hAnsi="Arial"/>
          <w:b w:val="0"/>
          <w:sz w:val="17"/>
          <w:szCs w:val="17"/>
          <w:lang w:val="es-CL"/>
        </w:rPr>
        <w:t>por más de 1.</w:t>
      </w:r>
      <w:r w:rsidRPr="00253367" w:rsidR="00AE06B7">
        <w:rPr>
          <w:rFonts w:ascii="Arial" w:hAnsi="Arial"/>
          <w:b w:val="0"/>
          <w:sz w:val="17"/>
          <w:szCs w:val="17"/>
          <w:lang w:val="es-CL"/>
        </w:rPr>
        <w:t xml:space="preserve">5 puntos. La hipoteca debe ser al menos </w:t>
      </w:r>
      <w:r w:rsidRPr="00253367" w:rsidR="00C9513C">
        <w:rPr>
          <w:rFonts w:ascii="Arial" w:hAnsi="Arial"/>
          <w:b w:val="0"/>
          <w:sz w:val="17"/>
          <w:szCs w:val="17"/>
          <w:lang w:val="es-CL"/>
        </w:rPr>
        <w:t>de</w:t>
      </w:r>
      <w:r w:rsidRPr="00253367">
        <w:rPr>
          <w:rFonts w:ascii="Arial" w:hAnsi="Arial"/>
          <w:b w:val="0"/>
          <w:sz w:val="17"/>
          <w:szCs w:val="17"/>
          <w:lang w:val="es-CL"/>
        </w:rPr>
        <w:t xml:space="preserve"> </w:t>
      </w:r>
      <w:r w:rsidRPr="00253367" w:rsidR="00AE06B7">
        <w:rPr>
          <w:rFonts w:ascii="Arial" w:hAnsi="Arial"/>
          <w:b w:val="0"/>
          <w:sz w:val="17"/>
          <w:szCs w:val="17"/>
          <w:lang w:val="es-CL"/>
        </w:rPr>
        <w:t>15 años</w:t>
      </w:r>
      <w:r w:rsidRPr="00253367">
        <w:rPr>
          <w:rFonts w:ascii="Arial" w:hAnsi="Arial"/>
          <w:b w:val="0"/>
          <w:sz w:val="17"/>
          <w:szCs w:val="17"/>
          <w:lang w:val="es-CL"/>
        </w:rPr>
        <w:t xml:space="preserve"> de plazo</w:t>
      </w:r>
      <w:r w:rsidRPr="00253367" w:rsidR="00AE06B7">
        <w:rPr>
          <w:rFonts w:ascii="Arial" w:hAnsi="Arial"/>
          <w:b w:val="0"/>
          <w:sz w:val="17"/>
          <w:szCs w:val="17"/>
          <w:lang w:val="es-CL"/>
        </w:rPr>
        <w:t xml:space="preserve">, </w:t>
      </w:r>
      <w:r w:rsidRPr="00253367">
        <w:rPr>
          <w:rFonts w:ascii="Arial" w:hAnsi="Arial"/>
          <w:b w:val="0"/>
          <w:sz w:val="17"/>
          <w:szCs w:val="17"/>
          <w:lang w:val="es-CL"/>
        </w:rPr>
        <w:t>tener</w:t>
      </w:r>
      <w:r w:rsidRPr="00253367" w:rsidR="00AE06B7">
        <w:rPr>
          <w:rFonts w:ascii="Arial" w:hAnsi="Arial"/>
          <w:b w:val="0"/>
          <w:sz w:val="17"/>
          <w:szCs w:val="17"/>
          <w:lang w:val="es-CL"/>
        </w:rPr>
        <w:t xml:space="preserve"> una tasa fija </w:t>
      </w:r>
      <w:r w:rsidRPr="00253367" w:rsidR="00C9513C">
        <w:rPr>
          <w:rFonts w:ascii="Arial" w:hAnsi="Arial"/>
          <w:b w:val="0"/>
          <w:sz w:val="17"/>
          <w:szCs w:val="17"/>
          <w:lang w:val="es-CL"/>
        </w:rPr>
        <w:t xml:space="preserve">de interés </w:t>
      </w:r>
      <w:r w:rsidRPr="00253367" w:rsidR="00AE06B7">
        <w:rPr>
          <w:rFonts w:ascii="Arial" w:hAnsi="Arial"/>
          <w:b w:val="0"/>
          <w:sz w:val="17"/>
          <w:szCs w:val="17"/>
          <w:lang w:val="es-CL"/>
        </w:rPr>
        <w:t>durante la vida del préstamo, y ser</w:t>
      </w:r>
      <w:r w:rsidRPr="00253367">
        <w:rPr>
          <w:rFonts w:ascii="Arial" w:hAnsi="Arial"/>
          <w:b w:val="0"/>
          <w:sz w:val="17"/>
          <w:szCs w:val="17"/>
          <w:lang w:val="es-CL"/>
        </w:rPr>
        <w:t xml:space="preserve"> plenamente amortizada</w:t>
      </w:r>
      <w:r w:rsidRPr="00253367" w:rsidR="00AE06B7">
        <w:rPr>
          <w:rFonts w:ascii="Arial" w:hAnsi="Arial"/>
          <w:b w:val="0"/>
          <w:sz w:val="17"/>
          <w:szCs w:val="17"/>
          <w:lang w:val="es-CL"/>
        </w:rPr>
        <w:t>.</w:t>
      </w:r>
    </w:p>
    <w:p w:rsidRPr="00253367" w:rsidR="00AE06B7" w:rsidP="00AE06B7" w:rsidRDefault="00AE06B7" w14:paraId="3DEEC669" w14:textId="77777777">
      <w:pPr>
        <w:rPr>
          <w:rFonts w:ascii="Arial" w:hAnsi="Arial"/>
          <w:b w:val="0"/>
          <w:sz w:val="17"/>
          <w:szCs w:val="17"/>
          <w:lang w:val="es-CL"/>
        </w:rPr>
      </w:pPr>
    </w:p>
    <w:p w:rsidRPr="00253367" w:rsidR="00AE06B7" w:rsidP="00AE06B7" w:rsidRDefault="00704585" w14:paraId="10BC0CA6" w14:textId="77777777">
      <w:pPr>
        <w:rPr>
          <w:rFonts w:ascii="Arial" w:hAnsi="Arial"/>
          <w:b w:val="0"/>
          <w:sz w:val="17"/>
          <w:szCs w:val="17"/>
          <w:lang w:val="es-CL"/>
        </w:rPr>
      </w:pPr>
      <w:r w:rsidRPr="00253367">
        <w:rPr>
          <w:rFonts w:ascii="Arial" w:hAnsi="Arial"/>
          <w:b w:val="0"/>
          <w:sz w:val="17"/>
          <w:szCs w:val="17"/>
          <w:lang w:val="es-CL"/>
        </w:rPr>
        <w:t>El</w:t>
      </w:r>
      <w:r w:rsidRPr="00253367" w:rsidR="00AE06B7">
        <w:rPr>
          <w:rFonts w:ascii="Arial" w:hAnsi="Arial"/>
          <w:b w:val="0"/>
          <w:sz w:val="17"/>
          <w:szCs w:val="17"/>
          <w:lang w:val="es-CL"/>
        </w:rPr>
        <w:t xml:space="preserve"> </w:t>
      </w:r>
      <w:r w:rsidRPr="00253367" w:rsidR="00DF58F4">
        <w:rPr>
          <w:rFonts w:ascii="Arial" w:hAnsi="Arial"/>
          <w:b w:val="0"/>
          <w:sz w:val="17"/>
          <w:szCs w:val="17"/>
          <w:lang w:val="es-CL"/>
        </w:rPr>
        <w:t xml:space="preserve">precio </w:t>
      </w:r>
      <w:r w:rsidRPr="00253367" w:rsidR="00AE06B7">
        <w:rPr>
          <w:rFonts w:ascii="Arial" w:hAnsi="Arial"/>
          <w:b w:val="0"/>
          <w:sz w:val="17"/>
          <w:szCs w:val="17"/>
          <w:lang w:val="es-CL"/>
        </w:rPr>
        <w:t xml:space="preserve">máximo </w:t>
      </w:r>
      <w:r w:rsidRPr="00253367" w:rsidR="00DF58F4">
        <w:rPr>
          <w:rFonts w:ascii="Arial" w:hAnsi="Arial"/>
          <w:b w:val="0"/>
          <w:sz w:val="17"/>
          <w:szCs w:val="17"/>
          <w:lang w:val="es-CL"/>
        </w:rPr>
        <w:t xml:space="preserve">de la vivienda </w:t>
      </w:r>
      <w:r w:rsidRPr="00253367" w:rsidR="00AE06B7">
        <w:rPr>
          <w:rFonts w:ascii="Arial" w:hAnsi="Arial"/>
          <w:b w:val="0"/>
          <w:sz w:val="17"/>
          <w:szCs w:val="17"/>
          <w:lang w:val="es-CL"/>
        </w:rPr>
        <w:t xml:space="preserve">no excederá el 95% </w:t>
      </w:r>
      <w:r w:rsidRPr="00253367" w:rsidR="00ED0689">
        <w:rPr>
          <w:rFonts w:ascii="Arial" w:hAnsi="Arial"/>
          <w:b w:val="0"/>
          <w:sz w:val="17"/>
          <w:szCs w:val="17"/>
          <w:lang w:val="es-CL"/>
        </w:rPr>
        <w:t>del</w:t>
      </w:r>
      <w:r w:rsidRPr="00253367" w:rsidR="00AE06B7">
        <w:rPr>
          <w:rFonts w:ascii="Arial" w:hAnsi="Arial"/>
          <w:b w:val="0"/>
          <w:sz w:val="17"/>
          <w:szCs w:val="17"/>
          <w:lang w:val="es-CL"/>
        </w:rPr>
        <w:t xml:space="preserve"> </w:t>
      </w:r>
      <w:r w:rsidRPr="00253367">
        <w:rPr>
          <w:rFonts w:ascii="Arial" w:hAnsi="Arial"/>
          <w:b w:val="0"/>
          <w:sz w:val="17"/>
          <w:szCs w:val="17"/>
          <w:lang w:val="es-CL"/>
        </w:rPr>
        <w:t xml:space="preserve">precio </w:t>
      </w:r>
      <w:r w:rsidRPr="00253367" w:rsidR="00AE06B7">
        <w:rPr>
          <w:rFonts w:ascii="Arial" w:hAnsi="Arial"/>
          <w:b w:val="0"/>
          <w:sz w:val="17"/>
          <w:szCs w:val="17"/>
          <w:lang w:val="es-CL"/>
        </w:rPr>
        <w:t>median</w:t>
      </w:r>
      <w:r w:rsidRPr="00253367">
        <w:rPr>
          <w:rFonts w:ascii="Arial" w:hAnsi="Arial"/>
          <w:b w:val="0"/>
          <w:sz w:val="17"/>
          <w:szCs w:val="17"/>
          <w:lang w:val="es-CL"/>
        </w:rPr>
        <w:t>o</w:t>
      </w:r>
      <w:r w:rsidRPr="00253367" w:rsidR="00AE06B7">
        <w:rPr>
          <w:rFonts w:ascii="Arial" w:hAnsi="Arial"/>
          <w:b w:val="0"/>
          <w:sz w:val="17"/>
          <w:szCs w:val="17"/>
          <w:lang w:val="es-CL"/>
        </w:rPr>
        <w:t xml:space="preserve"> de</w:t>
      </w:r>
      <w:r w:rsidRPr="00253367">
        <w:rPr>
          <w:rFonts w:ascii="Arial" w:hAnsi="Arial"/>
          <w:b w:val="0"/>
          <w:sz w:val="17"/>
          <w:szCs w:val="17"/>
          <w:lang w:val="es-CL"/>
        </w:rPr>
        <w:t xml:space="preserve"> precio</w:t>
      </w:r>
      <w:r w:rsidRPr="00253367" w:rsidR="00AE06B7">
        <w:rPr>
          <w:rFonts w:ascii="Arial" w:hAnsi="Arial"/>
          <w:b w:val="0"/>
          <w:sz w:val="17"/>
          <w:szCs w:val="17"/>
          <w:lang w:val="es-CL"/>
        </w:rPr>
        <w:t xml:space="preserve"> de compra de</w:t>
      </w:r>
      <w:r w:rsidRPr="00253367">
        <w:rPr>
          <w:rFonts w:ascii="Arial" w:hAnsi="Arial"/>
          <w:b w:val="0"/>
          <w:sz w:val="17"/>
          <w:szCs w:val="17"/>
          <w:lang w:val="es-CL"/>
        </w:rPr>
        <w:t>l</w:t>
      </w:r>
      <w:r w:rsidRPr="00253367" w:rsidR="00AE06B7">
        <w:rPr>
          <w:rFonts w:ascii="Arial" w:hAnsi="Arial"/>
          <w:b w:val="0"/>
          <w:sz w:val="17"/>
          <w:szCs w:val="17"/>
          <w:lang w:val="es-CL"/>
        </w:rPr>
        <w:t xml:space="preserve"> área para el mismo tipo de residencia </w:t>
      </w:r>
      <w:r w:rsidRPr="00253367">
        <w:rPr>
          <w:rFonts w:ascii="Arial" w:hAnsi="Arial"/>
          <w:b w:val="0"/>
          <w:sz w:val="17"/>
          <w:szCs w:val="17"/>
          <w:lang w:val="es-CL"/>
        </w:rPr>
        <w:t>en</w:t>
      </w:r>
      <w:r w:rsidRPr="00253367" w:rsidR="00AE06B7">
        <w:rPr>
          <w:rFonts w:ascii="Arial" w:hAnsi="Arial"/>
          <w:b w:val="0"/>
          <w:sz w:val="17"/>
          <w:szCs w:val="17"/>
          <w:lang w:val="es-CL"/>
        </w:rPr>
        <w:t xml:space="preserve"> </w:t>
      </w:r>
      <w:r w:rsidRPr="00253367" w:rsidR="00B94A18">
        <w:rPr>
          <w:rFonts w:ascii="Arial" w:hAnsi="Arial"/>
          <w:b w:val="0"/>
          <w:sz w:val="17"/>
          <w:szCs w:val="17"/>
          <w:lang w:val="es-CL"/>
        </w:rPr>
        <w:t>el área</w:t>
      </w:r>
      <w:r w:rsidRPr="00253367" w:rsidR="00AE06B7">
        <w:rPr>
          <w:rFonts w:ascii="Arial" w:hAnsi="Arial"/>
          <w:b w:val="0"/>
          <w:sz w:val="17"/>
          <w:szCs w:val="17"/>
          <w:lang w:val="es-CL"/>
        </w:rPr>
        <w:t xml:space="preserve"> de Bryan/College Station.</w:t>
      </w:r>
    </w:p>
    <w:p w:rsidRPr="00253367" w:rsidR="00AE06B7" w:rsidP="00AE06B7" w:rsidRDefault="00AE06B7" w14:paraId="3656B9AB" w14:textId="77777777">
      <w:pPr>
        <w:rPr>
          <w:rFonts w:ascii="Arial" w:hAnsi="Arial"/>
          <w:b w:val="0"/>
          <w:sz w:val="17"/>
          <w:szCs w:val="17"/>
          <w:lang w:val="es-CL"/>
        </w:rPr>
      </w:pPr>
    </w:p>
    <w:p w:rsidRPr="00253367" w:rsidR="00AE06B7" w:rsidP="00AE06B7" w:rsidRDefault="00AE06B7" w14:paraId="10F5114C" w14:textId="77777777">
      <w:pPr>
        <w:rPr>
          <w:rFonts w:ascii="Arial" w:hAnsi="Arial"/>
          <w:b w:val="0"/>
          <w:sz w:val="17"/>
          <w:szCs w:val="17"/>
          <w:lang w:val="es-CL"/>
        </w:rPr>
      </w:pPr>
      <w:r w:rsidRPr="00253367">
        <w:rPr>
          <w:rFonts w:ascii="Arial" w:hAnsi="Arial"/>
          <w:b w:val="0"/>
          <w:sz w:val="17"/>
          <w:szCs w:val="17"/>
          <w:lang w:val="es-CL"/>
        </w:rPr>
        <w:t xml:space="preserve">Un máximo del 30% de la </w:t>
      </w:r>
      <w:r w:rsidRPr="00253367" w:rsidR="00704585">
        <w:rPr>
          <w:rFonts w:ascii="Arial" w:hAnsi="Arial"/>
          <w:b w:val="0"/>
          <w:sz w:val="17"/>
          <w:szCs w:val="17"/>
          <w:lang w:val="es-CL"/>
        </w:rPr>
        <w:t>ayuda</w:t>
      </w:r>
      <w:r w:rsidRPr="00253367">
        <w:rPr>
          <w:rFonts w:ascii="Arial" w:hAnsi="Arial"/>
          <w:b w:val="0"/>
          <w:sz w:val="17"/>
          <w:szCs w:val="17"/>
          <w:lang w:val="es-CL"/>
        </w:rPr>
        <w:t xml:space="preserve"> DAP puede </w:t>
      </w:r>
      <w:r w:rsidRPr="00253367" w:rsidR="00C9513C">
        <w:rPr>
          <w:rFonts w:ascii="Arial" w:hAnsi="Arial"/>
          <w:b w:val="0"/>
          <w:sz w:val="17"/>
          <w:szCs w:val="17"/>
          <w:lang w:val="es-CL"/>
        </w:rPr>
        <w:t>aplicarse</w:t>
      </w:r>
      <w:r w:rsidRPr="00253367">
        <w:rPr>
          <w:rFonts w:ascii="Arial" w:hAnsi="Arial"/>
          <w:b w:val="0"/>
          <w:sz w:val="17"/>
          <w:szCs w:val="17"/>
          <w:lang w:val="es-CL"/>
        </w:rPr>
        <w:t xml:space="preserve"> hacia los costos de cierre o de puntos.</w:t>
      </w:r>
    </w:p>
    <w:p w:rsidRPr="00253367" w:rsidR="00AE06B7" w:rsidP="00AE06B7" w:rsidRDefault="00AE06B7" w14:paraId="45FB0818" w14:textId="77777777">
      <w:pPr>
        <w:rPr>
          <w:rFonts w:ascii="Arial" w:hAnsi="Arial"/>
          <w:b w:val="0"/>
          <w:sz w:val="17"/>
          <w:szCs w:val="17"/>
          <w:lang w:val="es-CL"/>
        </w:rPr>
      </w:pPr>
    </w:p>
    <w:p w:rsidRPr="00253367" w:rsidR="00AE06B7" w:rsidP="00AE06B7" w:rsidRDefault="00C9513C" w14:paraId="5E398349" w14:textId="77777777">
      <w:pPr>
        <w:rPr>
          <w:rFonts w:ascii="Arial" w:hAnsi="Arial"/>
          <w:b w:val="0"/>
          <w:sz w:val="17"/>
          <w:szCs w:val="17"/>
          <w:lang w:val="es-CL"/>
        </w:rPr>
      </w:pPr>
      <w:r w:rsidRPr="00253367">
        <w:rPr>
          <w:rFonts w:ascii="Arial" w:hAnsi="Arial"/>
          <w:b w:val="0"/>
          <w:sz w:val="17"/>
          <w:szCs w:val="17"/>
          <w:lang w:val="es-CL"/>
        </w:rPr>
        <w:t>Casas</w:t>
      </w:r>
      <w:r w:rsidRPr="00253367" w:rsidR="00AE06B7">
        <w:rPr>
          <w:rFonts w:ascii="Arial" w:hAnsi="Arial"/>
          <w:b w:val="0"/>
          <w:sz w:val="17"/>
          <w:szCs w:val="17"/>
          <w:lang w:val="es-CL"/>
        </w:rPr>
        <w:t xml:space="preserve"> construidas antes de 1978 deben haber pasado una </w:t>
      </w:r>
      <w:r w:rsidRPr="00253367" w:rsidR="00704585">
        <w:rPr>
          <w:rFonts w:ascii="Arial" w:hAnsi="Arial"/>
          <w:b w:val="0"/>
          <w:sz w:val="17"/>
          <w:szCs w:val="17"/>
          <w:lang w:val="es-CL"/>
        </w:rPr>
        <w:t xml:space="preserve">evaluación de riesgo de </w:t>
      </w:r>
      <w:r w:rsidRPr="00253367" w:rsidR="00AE06B7">
        <w:rPr>
          <w:rFonts w:ascii="Arial" w:hAnsi="Arial"/>
          <w:b w:val="0"/>
          <w:sz w:val="17"/>
          <w:szCs w:val="17"/>
          <w:lang w:val="es-CL"/>
        </w:rPr>
        <w:t xml:space="preserve">pintura a base de plomo por parte </w:t>
      </w:r>
      <w:r w:rsidRPr="00253367" w:rsidR="00704585">
        <w:rPr>
          <w:rFonts w:ascii="Arial" w:hAnsi="Arial"/>
          <w:b w:val="0"/>
          <w:sz w:val="17"/>
          <w:szCs w:val="17"/>
          <w:lang w:val="es-CL"/>
        </w:rPr>
        <w:t xml:space="preserve">de un Asesor Licenciado </w:t>
      </w:r>
      <w:r w:rsidRPr="00253367" w:rsidR="00B94A18">
        <w:rPr>
          <w:rFonts w:ascii="Arial" w:hAnsi="Arial"/>
          <w:b w:val="0"/>
          <w:sz w:val="17"/>
          <w:szCs w:val="17"/>
          <w:lang w:val="es-CL"/>
        </w:rPr>
        <w:t xml:space="preserve">por el Estado de Texas </w:t>
      </w:r>
      <w:r w:rsidRPr="00253367" w:rsidR="00704585">
        <w:rPr>
          <w:rFonts w:ascii="Arial" w:hAnsi="Arial"/>
          <w:b w:val="0"/>
          <w:sz w:val="17"/>
          <w:szCs w:val="17"/>
          <w:lang w:val="es-CL"/>
        </w:rPr>
        <w:t>de Riesgo de Plomo</w:t>
      </w:r>
      <w:r w:rsidRPr="00253367" w:rsidR="00AE06B7">
        <w:rPr>
          <w:rFonts w:ascii="Arial" w:hAnsi="Arial"/>
          <w:b w:val="0"/>
          <w:sz w:val="17"/>
          <w:szCs w:val="17"/>
          <w:lang w:val="es-CL"/>
        </w:rPr>
        <w:t>.</w:t>
      </w:r>
    </w:p>
    <w:p w:rsidRPr="00253367" w:rsidR="00AE06B7" w:rsidP="00AE06B7" w:rsidRDefault="00AE06B7" w14:paraId="049F31CB" w14:textId="77777777">
      <w:pPr>
        <w:rPr>
          <w:rFonts w:ascii="Arial" w:hAnsi="Arial"/>
          <w:b w:val="0"/>
          <w:sz w:val="17"/>
          <w:szCs w:val="17"/>
          <w:lang w:val="es-CL"/>
        </w:rPr>
      </w:pPr>
    </w:p>
    <w:p w:rsidRPr="00253367" w:rsidR="00AE06B7" w:rsidP="00AE06B7" w:rsidRDefault="00AE06B7" w14:paraId="1DE76BA8" w14:textId="77777777">
      <w:pPr>
        <w:rPr>
          <w:rFonts w:ascii="Arial" w:hAnsi="Arial"/>
          <w:b w:val="0"/>
          <w:sz w:val="17"/>
          <w:szCs w:val="17"/>
          <w:lang w:val="es-CL"/>
        </w:rPr>
      </w:pPr>
      <w:r w:rsidRPr="00253367">
        <w:rPr>
          <w:rFonts w:ascii="Arial" w:hAnsi="Arial"/>
          <w:b w:val="0"/>
          <w:sz w:val="17"/>
          <w:szCs w:val="17"/>
          <w:lang w:val="es-CL"/>
        </w:rPr>
        <w:t xml:space="preserve">Elegibilidad y aprobación no </w:t>
      </w:r>
      <w:r w:rsidRPr="00253367" w:rsidR="00C9513C">
        <w:rPr>
          <w:rFonts w:ascii="Arial" w:hAnsi="Arial"/>
          <w:b w:val="0"/>
          <w:sz w:val="17"/>
          <w:szCs w:val="17"/>
          <w:lang w:val="es-CL"/>
        </w:rPr>
        <w:t>es</w:t>
      </w:r>
      <w:r w:rsidRPr="00253367">
        <w:rPr>
          <w:rFonts w:ascii="Arial" w:hAnsi="Arial"/>
          <w:b w:val="0"/>
          <w:sz w:val="17"/>
          <w:szCs w:val="17"/>
          <w:lang w:val="es-CL"/>
        </w:rPr>
        <w:t xml:space="preserve"> determinad</w:t>
      </w:r>
      <w:r w:rsidRPr="00253367" w:rsidR="00704585">
        <w:rPr>
          <w:rFonts w:ascii="Arial" w:hAnsi="Arial"/>
          <w:b w:val="0"/>
          <w:sz w:val="17"/>
          <w:szCs w:val="17"/>
          <w:lang w:val="es-CL"/>
        </w:rPr>
        <w:t>a</w:t>
      </w:r>
      <w:r w:rsidRPr="00253367">
        <w:rPr>
          <w:rFonts w:ascii="Arial" w:hAnsi="Arial"/>
          <w:b w:val="0"/>
          <w:sz w:val="17"/>
          <w:szCs w:val="17"/>
          <w:lang w:val="es-CL"/>
        </w:rPr>
        <w:t xml:space="preserve"> hasta </w:t>
      </w:r>
      <w:r w:rsidRPr="00253367" w:rsidR="00704585">
        <w:rPr>
          <w:rFonts w:ascii="Arial" w:hAnsi="Arial"/>
          <w:b w:val="0"/>
          <w:sz w:val="17"/>
          <w:szCs w:val="17"/>
          <w:lang w:val="es-CL"/>
        </w:rPr>
        <w:t>que la ciudad revise</w:t>
      </w:r>
      <w:r w:rsidRPr="00253367">
        <w:rPr>
          <w:rFonts w:ascii="Arial" w:hAnsi="Arial"/>
          <w:b w:val="0"/>
          <w:sz w:val="17"/>
          <w:szCs w:val="17"/>
          <w:lang w:val="es-CL"/>
        </w:rPr>
        <w:t xml:space="preserve"> el contrato de compraventa, </w:t>
      </w:r>
      <w:r w:rsidRPr="00253367" w:rsidR="00704585">
        <w:rPr>
          <w:rFonts w:ascii="Arial" w:hAnsi="Arial"/>
          <w:b w:val="0"/>
          <w:sz w:val="17"/>
          <w:szCs w:val="17"/>
          <w:lang w:val="es-CL"/>
        </w:rPr>
        <w:t>información d</w:t>
      </w:r>
      <w:r w:rsidRPr="00253367">
        <w:rPr>
          <w:rFonts w:ascii="Arial" w:hAnsi="Arial"/>
          <w:b w:val="0"/>
          <w:sz w:val="17"/>
          <w:szCs w:val="17"/>
          <w:lang w:val="es-CL"/>
        </w:rPr>
        <w:t>el prestamista e inspecciona la casa.</w:t>
      </w:r>
    </w:p>
    <w:p w:rsidRPr="00253367" w:rsidR="00AE06B7" w:rsidRDefault="00AE06B7" w14:paraId="53128261" w14:textId="77777777">
      <w:pPr>
        <w:rPr>
          <w:rFonts w:ascii="Arial" w:hAnsi="Arial"/>
          <w:b w:val="0"/>
          <w:sz w:val="17"/>
          <w:szCs w:val="17"/>
          <w:lang w:val="es-CL"/>
        </w:rPr>
      </w:pPr>
    </w:p>
    <w:p w:rsidRPr="00253367" w:rsidR="00AE06B7" w:rsidRDefault="00704585" w14:paraId="64981F7E" w14:textId="77777777">
      <w:pPr>
        <w:rPr>
          <w:rFonts w:ascii="Arial" w:hAnsi="Arial"/>
          <w:b w:val="0"/>
          <w:sz w:val="17"/>
          <w:szCs w:val="17"/>
          <w:lang w:val="es-CL"/>
        </w:rPr>
      </w:pPr>
      <w:r w:rsidRPr="00253367">
        <w:rPr>
          <w:rFonts w:ascii="Arial" w:hAnsi="Arial"/>
          <w:b w:val="0"/>
          <w:sz w:val="17"/>
          <w:szCs w:val="17"/>
          <w:lang w:val="es-CL"/>
        </w:rPr>
        <w:t xml:space="preserve">Se les urge a los solicitantes a completar la Solicitud de Asistencia para el Pago Inicial y el proceso de aprobación </w:t>
      </w:r>
      <w:r w:rsidRPr="00253367">
        <w:rPr>
          <w:rFonts w:ascii="Arial" w:hAnsi="Arial"/>
          <w:sz w:val="17"/>
          <w:szCs w:val="17"/>
          <w:lang w:val="es-CL"/>
        </w:rPr>
        <w:t>antes de hacer una oferta</w:t>
      </w:r>
      <w:r w:rsidRPr="00253367">
        <w:rPr>
          <w:rFonts w:ascii="Arial" w:hAnsi="Arial"/>
          <w:b w:val="0"/>
          <w:sz w:val="17"/>
          <w:szCs w:val="17"/>
          <w:lang w:val="es-CL"/>
        </w:rPr>
        <w:t xml:space="preserve"> de compra. La Aplicación de Asistencia para el Pago Inicial y el proceso de aprobación normalmente toma tres semanas. Retraso en la presentación de la documentación requerida retrasará la fecha del cierre. Sólo casas ocupadas por propietarios o desocupadas pueden ser compradas, a menos que el participante DAP es el arrendatario. </w:t>
      </w:r>
      <w:r w:rsidRPr="00253367">
        <w:rPr>
          <w:rFonts w:ascii="Arial" w:hAnsi="Arial"/>
          <w:sz w:val="17"/>
          <w:szCs w:val="17"/>
          <w:u w:val="single"/>
          <w:lang w:val="es-CL"/>
        </w:rPr>
        <w:t>Casas ocupadas por inquilinos no pueden ser compradas.</w:t>
      </w:r>
    </w:p>
    <w:p w:rsidR="001A002C" w:rsidRDefault="001A002C" w14:paraId="62486C05" w14:textId="77777777">
      <w:pPr>
        <w:rPr>
          <w:rFonts w:ascii="Arial" w:hAnsi="Arial"/>
          <w:b w:val="0"/>
          <w:sz w:val="18"/>
          <w:szCs w:val="18"/>
          <w:lang w:val="es-CL"/>
        </w:rPr>
      </w:pPr>
    </w:p>
    <w:p w:rsidRPr="008F353C" w:rsidR="00B70978" w:rsidRDefault="00B70978" w14:paraId="23FE3595" w14:textId="2F792F8C">
      <w:pPr>
        <w:rPr>
          <w:rFonts w:ascii="Arial" w:hAnsi="Arial"/>
          <w:b w:val="0"/>
          <w:sz w:val="18"/>
          <w:szCs w:val="18"/>
          <w:lang w:val="es-CL"/>
        </w:rPr>
      </w:pPr>
      <w:r>
        <w:rPr>
          <w:rFonts w:ascii="Arial" w:hAnsi="Arial"/>
          <w:b w:val="0"/>
          <w:sz w:val="18"/>
          <w:szCs w:val="18"/>
          <w:lang w:val="es-CL"/>
        </w:rPr>
        <w:t>Rev.  6/1</w:t>
      </w:r>
      <w:r w:rsidR="004A69F8">
        <w:rPr>
          <w:rFonts w:ascii="Arial" w:hAnsi="Arial"/>
          <w:b w:val="0"/>
          <w:sz w:val="18"/>
          <w:szCs w:val="18"/>
          <w:lang w:val="es-CL"/>
        </w:rPr>
        <w:t>/202</w:t>
      </w:r>
      <w:r w:rsidR="00DC43B1">
        <w:rPr>
          <w:rFonts w:ascii="Arial" w:hAnsi="Arial"/>
          <w:b w:val="0"/>
          <w:sz w:val="18"/>
          <w:szCs w:val="18"/>
          <w:lang w:val="es-CL"/>
        </w:rPr>
        <w:t>5</w:t>
      </w:r>
    </w:p>
    <w:sectPr w:rsidRPr="008F353C" w:rsidR="00B70978">
      <w:footerReference w:type="default" r:id="rId12"/>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093A" w:rsidP="002A0D7B" w:rsidRDefault="0016093A" w14:paraId="553649CC" w14:textId="77777777">
      <w:r>
        <w:separator/>
      </w:r>
    </w:p>
  </w:endnote>
  <w:endnote w:type="continuationSeparator" w:id="0">
    <w:p w:rsidR="0016093A" w:rsidP="002A0D7B" w:rsidRDefault="0016093A" w14:paraId="5E9409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D7B" w:rsidRDefault="002A0D7B" w14:paraId="1299C4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093A" w:rsidP="002A0D7B" w:rsidRDefault="0016093A" w14:paraId="20664B23" w14:textId="77777777">
      <w:r>
        <w:separator/>
      </w:r>
    </w:p>
  </w:footnote>
  <w:footnote w:type="continuationSeparator" w:id="0">
    <w:p w:rsidR="0016093A" w:rsidP="002A0D7B" w:rsidRDefault="0016093A" w14:paraId="06FE01E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C740A"/>
    <w:multiLevelType w:val="singleLevel"/>
    <w:tmpl w:val="D8D02E00"/>
    <w:lvl w:ilvl="0">
      <w:start w:val="13"/>
      <w:numFmt w:val="decimal"/>
      <w:lvlText w:val="%1."/>
      <w:legacy w:legacy="1" w:legacySpace="0" w:legacyIndent="360"/>
      <w:lvlJc w:val="left"/>
      <w:pPr>
        <w:ind w:left="360" w:hanging="360"/>
      </w:pPr>
    </w:lvl>
  </w:abstractNum>
  <w:abstractNum w:abstractNumId="1" w15:restartNumberingAfterBreak="0">
    <w:nsid w:val="41D1351E"/>
    <w:multiLevelType w:val="singleLevel"/>
    <w:tmpl w:val="D9FC4450"/>
    <w:lvl w:ilvl="0">
      <w:start w:val="4"/>
      <w:numFmt w:val="decimal"/>
      <w:lvlText w:val="%1."/>
      <w:lvlJc w:val="left"/>
      <w:pPr>
        <w:tabs>
          <w:tab w:val="num" w:pos="720"/>
        </w:tabs>
        <w:ind w:left="720" w:hanging="360"/>
      </w:pPr>
      <w:rPr>
        <w:rFonts w:hint="default"/>
      </w:rPr>
    </w:lvl>
  </w:abstractNum>
  <w:abstractNum w:abstractNumId="2" w15:restartNumberingAfterBreak="0">
    <w:nsid w:val="76752F32"/>
    <w:multiLevelType w:val="singleLevel"/>
    <w:tmpl w:val="A22638E0"/>
    <w:lvl w:ilvl="0">
      <w:start w:val="1"/>
      <w:numFmt w:val="decimal"/>
      <w:lvlText w:val="%1."/>
      <w:legacy w:legacy="1" w:legacySpace="0" w:legacyIndent="360"/>
      <w:lvlJc w:val="left"/>
      <w:pPr>
        <w:ind w:left="360" w:hanging="360"/>
      </w:pPr>
    </w:lvl>
  </w:abstractNum>
  <w:num w:numId="1" w16cid:durableId="1910266733">
    <w:abstractNumId w:val="2"/>
  </w:num>
  <w:num w:numId="2" w16cid:durableId="846016492">
    <w:abstractNumId w:val="0"/>
  </w:num>
  <w:num w:numId="3" w16cid:durableId="48254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1"/>
    <w:rsid w:val="000011E9"/>
    <w:rsid w:val="00056F5B"/>
    <w:rsid w:val="000D1B57"/>
    <w:rsid w:val="000D525D"/>
    <w:rsid w:val="001021B8"/>
    <w:rsid w:val="0011403A"/>
    <w:rsid w:val="00116C5F"/>
    <w:rsid w:val="00123D72"/>
    <w:rsid w:val="0012495A"/>
    <w:rsid w:val="00146DDF"/>
    <w:rsid w:val="0016093A"/>
    <w:rsid w:val="0017386F"/>
    <w:rsid w:val="00176949"/>
    <w:rsid w:val="00186050"/>
    <w:rsid w:val="00192620"/>
    <w:rsid w:val="00196B05"/>
    <w:rsid w:val="001A002C"/>
    <w:rsid w:val="001A5486"/>
    <w:rsid w:val="001A54E6"/>
    <w:rsid w:val="001B0597"/>
    <w:rsid w:val="001B4EE1"/>
    <w:rsid w:val="001D510E"/>
    <w:rsid w:val="00202594"/>
    <w:rsid w:val="00223E32"/>
    <w:rsid w:val="0023522F"/>
    <w:rsid w:val="00253367"/>
    <w:rsid w:val="002832D4"/>
    <w:rsid w:val="002A0D7B"/>
    <w:rsid w:val="002A670F"/>
    <w:rsid w:val="002D3699"/>
    <w:rsid w:val="002D60AD"/>
    <w:rsid w:val="00311429"/>
    <w:rsid w:val="00344182"/>
    <w:rsid w:val="00363DE4"/>
    <w:rsid w:val="00393B1F"/>
    <w:rsid w:val="003A65ED"/>
    <w:rsid w:val="003B2F3D"/>
    <w:rsid w:val="003C5D82"/>
    <w:rsid w:val="003D1E1C"/>
    <w:rsid w:val="0044299E"/>
    <w:rsid w:val="00497E51"/>
    <w:rsid w:val="004A54DD"/>
    <w:rsid w:val="004A69F8"/>
    <w:rsid w:val="004B4929"/>
    <w:rsid w:val="005156E3"/>
    <w:rsid w:val="00524CF6"/>
    <w:rsid w:val="0055275A"/>
    <w:rsid w:val="005B3D1C"/>
    <w:rsid w:val="005D1D17"/>
    <w:rsid w:val="005E07AE"/>
    <w:rsid w:val="005E599E"/>
    <w:rsid w:val="005F5FF9"/>
    <w:rsid w:val="00617869"/>
    <w:rsid w:val="00634AC2"/>
    <w:rsid w:val="00670C4F"/>
    <w:rsid w:val="006B1087"/>
    <w:rsid w:val="006B20D7"/>
    <w:rsid w:val="006B4D72"/>
    <w:rsid w:val="006C09E7"/>
    <w:rsid w:val="006C0AD0"/>
    <w:rsid w:val="006C1F91"/>
    <w:rsid w:val="006D7E71"/>
    <w:rsid w:val="006F25BC"/>
    <w:rsid w:val="00704585"/>
    <w:rsid w:val="007F6489"/>
    <w:rsid w:val="0087057F"/>
    <w:rsid w:val="008942D1"/>
    <w:rsid w:val="008A207D"/>
    <w:rsid w:val="008B1AC5"/>
    <w:rsid w:val="008F353C"/>
    <w:rsid w:val="009409E6"/>
    <w:rsid w:val="00952342"/>
    <w:rsid w:val="009D4EC4"/>
    <w:rsid w:val="00A27DBC"/>
    <w:rsid w:val="00A327EF"/>
    <w:rsid w:val="00A64035"/>
    <w:rsid w:val="00A66AE9"/>
    <w:rsid w:val="00AA2157"/>
    <w:rsid w:val="00AC4F28"/>
    <w:rsid w:val="00AE06B7"/>
    <w:rsid w:val="00B05C6D"/>
    <w:rsid w:val="00B4510A"/>
    <w:rsid w:val="00B50EBF"/>
    <w:rsid w:val="00B657B4"/>
    <w:rsid w:val="00B70978"/>
    <w:rsid w:val="00B726AD"/>
    <w:rsid w:val="00B80ADC"/>
    <w:rsid w:val="00B94A18"/>
    <w:rsid w:val="00BC35AC"/>
    <w:rsid w:val="00BD6235"/>
    <w:rsid w:val="00BE58AA"/>
    <w:rsid w:val="00C06341"/>
    <w:rsid w:val="00C9513C"/>
    <w:rsid w:val="00CC3F51"/>
    <w:rsid w:val="00CC4ADD"/>
    <w:rsid w:val="00CE52A7"/>
    <w:rsid w:val="00D17CE9"/>
    <w:rsid w:val="00D247A2"/>
    <w:rsid w:val="00D34031"/>
    <w:rsid w:val="00D43865"/>
    <w:rsid w:val="00D778F2"/>
    <w:rsid w:val="00DA0A98"/>
    <w:rsid w:val="00DB7FBD"/>
    <w:rsid w:val="00DC43B1"/>
    <w:rsid w:val="00DF58F4"/>
    <w:rsid w:val="00E00111"/>
    <w:rsid w:val="00E14EBD"/>
    <w:rsid w:val="00E276ED"/>
    <w:rsid w:val="00E31A66"/>
    <w:rsid w:val="00E83258"/>
    <w:rsid w:val="00E9154D"/>
    <w:rsid w:val="00EB799E"/>
    <w:rsid w:val="00EC1D19"/>
    <w:rsid w:val="00ED0689"/>
    <w:rsid w:val="00ED634C"/>
    <w:rsid w:val="00F1188C"/>
    <w:rsid w:val="00F23EBB"/>
    <w:rsid w:val="00F2615A"/>
    <w:rsid w:val="00F57BF6"/>
    <w:rsid w:val="00F82143"/>
    <w:rsid w:val="00F863B4"/>
    <w:rsid w:val="00FA1134"/>
    <w:rsid w:val="00FB0A17"/>
    <w:rsid w:val="00FB630F"/>
    <w:rsid w:val="00FC10F5"/>
    <w:rsid w:val="00FC16C2"/>
    <w:rsid w:val="00FE48D0"/>
    <w:rsid w:val="0C8BC006"/>
    <w:rsid w:val="0F8398A8"/>
    <w:rsid w:val="20A4DA95"/>
    <w:rsid w:val="231C3664"/>
    <w:rsid w:val="3B83E72C"/>
    <w:rsid w:val="56F95A80"/>
    <w:rsid w:val="6F92A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A4DEB"/>
  <w15:chartTrackingRefBased/>
  <w15:docId w15:val="{C5FD977C-3ADA-4C65-98EE-FFA12646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
      <w:lang w:eastAsia="en-US"/>
    </w:rPr>
  </w:style>
  <w:style w:type="paragraph" w:styleId="Heading1">
    <w:name w:val="heading 1"/>
    <w:basedOn w:val="Normal"/>
    <w:next w:val="Normal"/>
    <w:qFormat/>
    <w:pPr>
      <w:keepNext/>
      <w:outlineLvl w:val="0"/>
    </w:pPr>
    <w:rPr>
      <w:b w:val="0"/>
      <w:sz w:val="28"/>
    </w:rPr>
  </w:style>
  <w:style w:type="paragraph" w:styleId="Heading6">
    <w:name w:val="heading 6"/>
    <w:basedOn w:val="Normal"/>
    <w:next w:val="Normal"/>
    <w:qFormat/>
    <w:pPr>
      <w:keepNext/>
      <w:outlineLvl w:val="5"/>
    </w:pPr>
    <w:rPr>
      <w:rFonts w:ascii="Arial" w:hAnsi="Arial"/>
      <w:spacing w:val="-5"/>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pPr>
      <w:ind w:left="450" w:hanging="450"/>
    </w:pPr>
    <w:rPr>
      <w:rFonts w:ascii="Arial" w:hAnsi="Arial"/>
    </w:rPr>
  </w:style>
  <w:style w:type="paragraph" w:styleId="BodyTextIndent2">
    <w:name w:val="Body Text Indent 2"/>
    <w:basedOn w:val="Normal"/>
    <w:pPr>
      <w:tabs>
        <w:tab w:val="left" w:pos="360"/>
      </w:tabs>
      <w:ind w:left="360" w:hanging="360"/>
    </w:pPr>
    <w:rPr>
      <w:rFonts w:ascii="Arial" w:hAnsi="Arial"/>
      <w:sz w:val="18"/>
    </w:rPr>
  </w:style>
  <w:style w:type="paragraph" w:styleId="Header">
    <w:name w:val="header"/>
    <w:basedOn w:val="Normal"/>
    <w:link w:val="HeaderChar"/>
    <w:rsid w:val="002A0D7B"/>
    <w:pPr>
      <w:tabs>
        <w:tab w:val="center" w:pos="4680"/>
        <w:tab w:val="right" w:pos="9360"/>
      </w:tabs>
    </w:pPr>
  </w:style>
  <w:style w:type="character" w:styleId="HeaderChar" w:customStyle="1">
    <w:name w:val="Header Char"/>
    <w:link w:val="Header"/>
    <w:rsid w:val="002A0D7B"/>
    <w:rPr>
      <w:b/>
    </w:rPr>
  </w:style>
  <w:style w:type="paragraph" w:styleId="Footer">
    <w:name w:val="footer"/>
    <w:basedOn w:val="Normal"/>
    <w:link w:val="FooterChar"/>
    <w:uiPriority w:val="99"/>
    <w:rsid w:val="002A0D7B"/>
    <w:pPr>
      <w:tabs>
        <w:tab w:val="center" w:pos="4680"/>
        <w:tab w:val="right" w:pos="9360"/>
      </w:tabs>
    </w:pPr>
  </w:style>
  <w:style w:type="character" w:styleId="FooterChar" w:customStyle="1">
    <w:name w:val="Footer Char"/>
    <w:link w:val="Footer"/>
    <w:uiPriority w:val="99"/>
    <w:rsid w:val="002A0D7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14908A04D9E49A6A224C390939520" ma:contentTypeVersion="12" ma:contentTypeDescription="Create a new document." ma:contentTypeScope="" ma:versionID="1b5c272484cb99994e80a1f8940c9a70">
  <xsd:schema xmlns:xsd="http://www.w3.org/2001/XMLSchema" xmlns:xs="http://www.w3.org/2001/XMLSchema" xmlns:p="http://schemas.microsoft.com/office/2006/metadata/properties" xmlns:ns2="b3c01343-a770-4c42-a749-9784eb230168" xmlns:ns3="4afbb427-7328-4139-9be5-935d22236fd6" targetNamespace="http://schemas.microsoft.com/office/2006/metadata/properties" ma:root="true" ma:fieldsID="e49fb121ea93b0c144e2464d292baa30" ns2:_="" ns3:_="">
    <xsd:import namespace="b3c01343-a770-4c42-a749-9784eb230168"/>
    <xsd:import namespace="4afbb427-7328-4139-9be5-935d22236f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01343-a770-4c42-a749-9784eb2301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bb427-7328-4139-9be5-935d22236f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7b779b-e744-446e-929c-74901c1d157e}" ma:internalName="TaxCatchAll" ma:showField="CatchAllData" ma:web="4afbb427-7328-4139-9be5-935d22236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01343-a770-4c42-a749-9784eb230168">
      <Terms xmlns="http://schemas.microsoft.com/office/infopath/2007/PartnerControls"/>
    </lcf76f155ced4ddcb4097134ff3c332f>
    <TaxCatchAll xmlns="4afbb427-7328-4139-9be5-935d22236fd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0CFA0-48BD-4668-A1A7-29EA53D5C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01343-a770-4c42-a749-9784eb230168"/>
    <ds:schemaRef ds:uri="4afbb427-7328-4139-9be5-935d22236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4F7F6-A6EA-416A-AD3D-91A1F709546E}">
  <ds:schemaRefs>
    <ds:schemaRef ds:uri="http://schemas.microsoft.com/office/2006/metadata/properties"/>
    <ds:schemaRef ds:uri="http://schemas.microsoft.com/office/infopath/2007/PartnerControls"/>
    <ds:schemaRef ds:uri="b3c01343-a770-4c42-a749-9784eb230168"/>
    <ds:schemaRef ds:uri="4afbb427-7328-4139-9be5-935d22236fd6"/>
  </ds:schemaRefs>
</ds:datastoreItem>
</file>

<file path=customXml/itemProps3.xml><?xml version="1.0" encoding="utf-8"?>
<ds:datastoreItem xmlns:ds="http://schemas.openxmlformats.org/officeDocument/2006/customXml" ds:itemID="{83DAA11F-A063-4021-B4AF-ED00C47F51DF}">
  <ds:schemaRefs>
    <ds:schemaRef ds:uri="http://schemas.microsoft.com/office/2006/metadata/longProperties"/>
  </ds:schemaRefs>
</ds:datastoreItem>
</file>

<file path=customXml/itemProps4.xml><?xml version="1.0" encoding="utf-8"?>
<ds:datastoreItem xmlns:ds="http://schemas.openxmlformats.org/officeDocument/2006/customXml" ds:itemID="{DCC91483-11FB-47D6-BDC1-251033D0C8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College Station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Eligibility Criteria and Lender Key Points</dc:title>
  <dc:subject/>
  <dc:creator>City User</dc:creator>
  <keywords/>
  <lastModifiedBy>Frank Myers</lastModifiedBy>
  <revision>13</revision>
  <lastPrinted>2011-09-02T16:09:00.0000000Z</lastPrinted>
  <dcterms:created xsi:type="dcterms:W3CDTF">2025-06-05T12:34:00.0000000Z</dcterms:created>
  <dcterms:modified xsi:type="dcterms:W3CDTF">2025-09-22T16:50:17.5944927Z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app-cityhubadmin-svc</vt:lpwstr>
  </property>
  <property fmtid="{D5CDD505-2E9C-101B-9397-08002B2CF9AE}" pid="3" name="Order">
    <vt:lpwstr>1216800.00000000</vt:lpwstr>
  </property>
  <property fmtid="{D5CDD505-2E9C-101B-9397-08002B2CF9AE}" pid="4" name="display_urn:schemas-microsoft-com:office:office#Author">
    <vt:lpwstr>app-cityhubadmin-svc</vt:lpwstr>
  </property>
  <property fmtid="{D5CDD505-2E9C-101B-9397-08002B2CF9AE}" pid="5" name="lcf76f155ced4ddcb4097134ff3c332f">
    <vt:lpwstr/>
  </property>
  <property fmtid="{D5CDD505-2E9C-101B-9397-08002B2CF9AE}" pid="6" name="TaxCatchAll">
    <vt:lpwstr/>
  </property>
  <property fmtid="{D5CDD505-2E9C-101B-9397-08002B2CF9AE}" pid="7" name="_ExtendedDescription">
    <vt:lpwstr/>
  </property>
  <property fmtid="{D5CDD505-2E9C-101B-9397-08002B2CF9AE}" pid="8" name="MediaServiceImageTags">
    <vt:lpwstr/>
  </property>
  <property fmtid="{D5CDD505-2E9C-101B-9397-08002B2CF9AE}" pid="9" name="ContentTypeId">
    <vt:lpwstr>0x01010003B14908A04D9E49A6A224C390939520</vt:lpwstr>
  </property>
</Properties>
</file>